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15" w:type="dxa"/>
        <w:tblInd w:w="-698" w:type="dxa"/>
        <w:tblLook w:val="01E0"/>
      </w:tblPr>
      <w:tblGrid>
        <w:gridCol w:w="5339"/>
        <w:gridCol w:w="5276"/>
      </w:tblGrid>
      <w:tr w:rsidR="00463250" w:rsidRPr="006C364A">
        <w:trPr>
          <w:trHeight w:val="1440"/>
        </w:trPr>
        <w:tc>
          <w:tcPr>
            <w:tcW w:w="5339" w:type="dxa"/>
          </w:tcPr>
          <w:p w:rsidR="00463250" w:rsidRPr="00CC0879" w:rsidRDefault="00463250" w:rsidP="000C60D0">
            <w:pPr>
              <w:keepNext/>
              <w:spacing w:after="0" w:line="264" w:lineRule="auto"/>
              <w:jc w:val="center"/>
              <w:rPr>
                <w:sz w:val="24"/>
                <w:szCs w:val="24"/>
              </w:rPr>
            </w:pPr>
            <w:r w:rsidRPr="00CC0879">
              <w:rPr>
                <w:sz w:val="24"/>
                <w:szCs w:val="24"/>
              </w:rPr>
              <w:t>TẬ</w:t>
            </w:r>
            <w:r>
              <w:rPr>
                <w:sz w:val="24"/>
                <w:szCs w:val="24"/>
              </w:rPr>
              <w:t>P Đ</w:t>
            </w:r>
            <w:r w:rsidRPr="00E15295">
              <w:rPr>
                <w:rFonts w:ascii=".VnTimeH" w:hAnsi=".VnTimeH" w:cs=".VnTimeH"/>
                <w:sz w:val="24"/>
                <w:szCs w:val="24"/>
              </w:rPr>
              <w:t>oàn</w:t>
            </w:r>
            <w:r w:rsidRPr="00CC0879">
              <w:rPr>
                <w:sz w:val="24"/>
                <w:szCs w:val="24"/>
              </w:rPr>
              <w:t xml:space="preserve"> CÔNG NGHIỆP</w:t>
            </w:r>
          </w:p>
          <w:p w:rsidR="00463250" w:rsidRPr="00CC0879" w:rsidRDefault="00463250" w:rsidP="000C60D0">
            <w:pPr>
              <w:keepNext/>
              <w:spacing w:after="0" w:line="264" w:lineRule="auto"/>
              <w:jc w:val="center"/>
              <w:rPr>
                <w:sz w:val="24"/>
                <w:szCs w:val="24"/>
              </w:rPr>
            </w:pPr>
            <w:r w:rsidRPr="00CC0879">
              <w:rPr>
                <w:sz w:val="24"/>
                <w:szCs w:val="24"/>
              </w:rPr>
              <w:t>THAN – KHOÁNG SẢN VIỆT NAM</w:t>
            </w:r>
          </w:p>
          <w:p w:rsidR="00463250" w:rsidRDefault="00463250" w:rsidP="00E53ABE">
            <w:pPr>
              <w:keepNext/>
              <w:spacing w:after="0" w:line="264" w:lineRule="auto"/>
              <w:jc w:val="left"/>
              <w:rPr>
                <w:b/>
                <w:bCs/>
                <w:sz w:val="24"/>
                <w:szCs w:val="24"/>
              </w:rPr>
            </w:pPr>
            <w:r w:rsidRPr="00E53ABE">
              <w:rPr>
                <w:b/>
                <w:bCs/>
                <w:sz w:val="24"/>
                <w:szCs w:val="24"/>
              </w:rPr>
              <w:t>CÔNG TY C</w:t>
            </w:r>
            <w:r>
              <w:rPr>
                <w:b/>
                <w:bCs/>
                <w:sz w:val="24"/>
                <w:szCs w:val="24"/>
              </w:rPr>
              <w:t>P</w:t>
            </w:r>
            <w:r w:rsidRPr="00E53ABE">
              <w:rPr>
                <w:b/>
                <w:bCs/>
                <w:sz w:val="24"/>
                <w:szCs w:val="24"/>
              </w:rPr>
              <w:t xml:space="preserve"> THAN HÀ LẦ</w:t>
            </w:r>
            <w:r>
              <w:rPr>
                <w:b/>
                <w:bCs/>
                <w:sz w:val="24"/>
                <w:szCs w:val="24"/>
              </w:rPr>
              <w:t>M –</w:t>
            </w:r>
            <w:r w:rsidRPr="00E53ABE">
              <w:rPr>
                <w:b/>
                <w:bCs/>
                <w:sz w:val="24"/>
                <w:szCs w:val="24"/>
              </w:rPr>
              <w:t xml:space="preserve">VINACOMIN </w:t>
            </w:r>
          </w:p>
          <w:p w:rsidR="00463250" w:rsidRDefault="00463250" w:rsidP="00E15295">
            <w:pPr>
              <w:keepNext/>
              <w:spacing w:after="0" w:line="264" w:lineRule="auto"/>
              <w:jc w:val="center"/>
              <w:rPr>
                <w:b/>
                <w:bCs/>
                <w:sz w:val="10"/>
                <w:szCs w:val="10"/>
              </w:rPr>
            </w:pPr>
            <w:r w:rsidRPr="00E15295">
              <w:rPr>
                <w:b/>
                <w:bCs/>
                <w:sz w:val="10"/>
                <w:szCs w:val="10"/>
              </w:rPr>
              <w:t>______________________________________</w:t>
            </w:r>
          </w:p>
          <w:p w:rsidR="00463250" w:rsidRPr="00E15295" w:rsidRDefault="00463250" w:rsidP="00E15295">
            <w:pPr>
              <w:keepNext/>
              <w:spacing w:after="0" w:line="264" w:lineRule="auto"/>
              <w:jc w:val="center"/>
              <w:rPr>
                <w:b/>
                <w:bCs/>
                <w:sz w:val="10"/>
                <w:szCs w:val="10"/>
              </w:rPr>
            </w:pPr>
          </w:p>
          <w:p w:rsidR="00463250" w:rsidRPr="00A4677A" w:rsidRDefault="00463250" w:rsidP="000C60D0">
            <w:pPr>
              <w:keepNext/>
              <w:spacing w:after="0" w:line="264" w:lineRule="auto"/>
              <w:jc w:val="center"/>
              <w:rPr>
                <w:sz w:val="26"/>
                <w:szCs w:val="26"/>
              </w:rPr>
            </w:pPr>
            <w:r w:rsidRPr="00A4677A">
              <w:t xml:space="preserve"> </w:t>
            </w:r>
            <w:r w:rsidRPr="00A4677A">
              <w:rPr>
                <w:sz w:val="26"/>
                <w:szCs w:val="26"/>
              </w:rPr>
              <w:t>Số: 02/2012/NQ-ĐHĐCĐ</w:t>
            </w:r>
          </w:p>
        </w:tc>
        <w:tc>
          <w:tcPr>
            <w:tcW w:w="5276" w:type="dxa"/>
          </w:tcPr>
          <w:p w:rsidR="00463250" w:rsidRPr="00CC0879" w:rsidRDefault="00463250" w:rsidP="00E53ABE">
            <w:pPr>
              <w:keepNext/>
              <w:spacing w:after="0" w:line="264" w:lineRule="auto"/>
              <w:jc w:val="left"/>
              <w:rPr>
                <w:b/>
                <w:bCs/>
                <w:sz w:val="24"/>
                <w:szCs w:val="24"/>
              </w:rPr>
            </w:pPr>
            <w:r w:rsidRPr="00CC0879">
              <w:rPr>
                <w:b/>
                <w:bCs/>
                <w:sz w:val="24"/>
                <w:szCs w:val="24"/>
              </w:rPr>
              <w:t>CỘNG HÒA XÃ HỘI CHỦ NGHĨA VIỆT NAM</w:t>
            </w:r>
          </w:p>
          <w:p w:rsidR="00463250" w:rsidRPr="00E15295" w:rsidRDefault="00463250" w:rsidP="000C60D0">
            <w:pPr>
              <w:keepNext/>
              <w:spacing w:after="0" w:line="264" w:lineRule="auto"/>
              <w:jc w:val="center"/>
              <w:rPr>
                <w:b/>
                <w:bCs/>
                <w:sz w:val="26"/>
                <w:szCs w:val="26"/>
              </w:rPr>
            </w:pPr>
            <w:r w:rsidRPr="00E15295">
              <w:rPr>
                <w:b/>
                <w:bCs/>
                <w:sz w:val="26"/>
                <w:szCs w:val="26"/>
              </w:rPr>
              <w:t>Độc lập - Tự do - Hạnh phúc</w:t>
            </w:r>
          </w:p>
          <w:p w:rsidR="00463250" w:rsidRPr="00E15295" w:rsidRDefault="00463250" w:rsidP="000C60D0">
            <w:pPr>
              <w:keepNext/>
              <w:spacing w:after="0" w:line="264" w:lineRule="auto"/>
              <w:jc w:val="center"/>
              <w:rPr>
                <w:b/>
                <w:bCs/>
                <w:sz w:val="10"/>
                <w:szCs w:val="10"/>
              </w:rPr>
            </w:pPr>
            <w:r w:rsidRPr="00E15295">
              <w:rPr>
                <w:b/>
                <w:bCs/>
                <w:sz w:val="10"/>
                <w:szCs w:val="10"/>
              </w:rPr>
              <w:t>____________________________________</w:t>
            </w:r>
            <w:r>
              <w:rPr>
                <w:b/>
                <w:bCs/>
                <w:sz w:val="10"/>
                <w:szCs w:val="10"/>
              </w:rPr>
              <w:t>____________________</w:t>
            </w:r>
          </w:p>
          <w:p w:rsidR="00463250" w:rsidRPr="00CC0879" w:rsidRDefault="00463250" w:rsidP="000C60D0">
            <w:pPr>
              <w:keepNext/>
              <w:spacing w:after="0" w:line="264" w:lineRule="auto"/>
              <w:jc w:val="center"/>
              <w:rPr>
                <w:sz w:val="24"/>
                <w:szCs w:val="24"/>
              </w:rPr>
            </w:pPr>
          </w:p>
          <w:p w:rsidR="00463250" w:rsidRPr="00E15295" w:rsidRDefault="00463250" w:rsidP="000C60D0">
            <w:pPr>
              <w:keepNext/>
              <w:spacing w:after="0" w:line="264" w:lineRule="auto"/>
              <w:jc w:val="center"/>
              <w:rPr>
                <w:i/>
                <w:iCs/>
                <w:sz w:val="26"/>
                <w:szCs w:val="26"/>
              </w:rPr>
            </w:pPr>
            <w:r w:rsidRPr="00E15295">
              <w:rPr>
                <w:i/>
                <w:iCs/>
                <w:sz w:val="26"/>
                <w:szCs w:val="26"/>
              </w:rPr>
              <w:t>Quảng</w:t>
            </w:r>
            <w:r>
              <w:rPr>
                <w:i/>
                <w:iCs/>
                <w:sz w:val="26"/>
                <w:szCs w:val="26"/>
              </w:rPr>
              <w:t xml:space="preserve"> N</w:t>
            </w:r>
            <w:r w:rsidRPr="00E15295">
              <w:rPr>
                <w:i/>
                <w:iCs/>
                <w:sz w:val="26"/>
                <w:szCs w:val="26"/>
              </w:rPr>
              <w:t xml:space="preserve">inh, ngày </w:t>
            </w:r>
            <w:r>
              <w:rPr>
                <w:i/>
                <w:iCs/>
                <w:sz w:val="26"/>
                <w:szCs w:val="26"/>
              </w:rPr>
              <w:t>25</w:t>
            </w:r>
            <w:r w:rsidRPr="00E15295">
              <w:rPr>
                <w:i/>
                <w:iCs/>
                <w:sz w:val="26"/>
                <w:szCs w:val="26"/>
              </w:rPr>
              <w:t xml:space="preserve"> tháng </w:t>
            </w:r>
            <w:r>
              <w:rPr>
                <w:i/>
                <w:iCs/>
                <w:sz w:val="26"/>
                <w:szCs w:val="26"/>
              </w:rPr>
              <w:t>11</w:t>
            </w:r>
            <w:r w:rsidRPr="00E15295">
              <w:rPr>
                <w:i/>
                <w:iCs/>
                <w:sz w:val="26"/>
                <w:szCs w:val="26"/>
              </w:rPr>
              <w:t xml:space="preserve"> năm 2012</w:t>
            </w:r>
          </w:p>
        </w:tc>
      </w:tr>
    </w:tbl>
    <w:p w:rsidR="00463250" w:rsidRDefault="00463250" w:rsidP="000C60D0">
      <w:pPr>
        <w:pStyle w:val="BodyTextIndent3"/>
        <w:keepNext/>
        <w:spacing w:line="288" w:lineRule="auto"/>
        <w:ind w:left="0"/>
        <w:jc w:val="center"/>
        <w:rPr>
          <w:rFonts w:ascii="Times New Roman" w:hAnsi="Times New Roman" w:cs="Times New Roman"/>
          <w:b/>
          <w:bCs/>
        </w:rPr>
      </w:pPr>
    </w:p>
    <w:p w:rsidR="00463250" w:rsidRPr="000C60D0" w:rsidRDefault="00463250" w:rsidP="000C60D0">
      <w:pPr>
        <w:pStyle w:val="BodyTextIndent3"/>
        <w:keepNext/>
        <w:spacing w:line="288" w:lineRule="auto"/>
        <w:ind w:left="0"/>
        <w:jc w:val="center"/>
        <w:rPr>
          <w:rFonts w:ascii="Times New Roman" w:hAnsi="Times New Roman" w:cs="Times New Roman"/>
        </w:rPr>
      </w:pPr>
      <w:r w:rsidRPr="000C60D0">
        <w:rPr>
          <w:rFonts w:ascii="Times New Roman" w:hAnsi="Times New Roman" w:cs="Times New Roman"/>
          <w:b/>
          <w:bCs/>
        </w:rPr>
        <w:t xml:space="preserve">NGHỊ QUYẾT </w:t>
      </w:r>
    </w:p>
    <w:p w:rsidR="00463250" w:rsidRDefault="00463250" w:rsidP="000C60D0">
      <w:pPr>
        <w:pStyle w:val="BodyTextIndent3"/>
        <w:keepNext/>
        <w:spacing w:line="288" w:lineRule="auto"/>
        <w:ind w:left="0"/>
        <w:jc w:val="center"/>
        <w:rPr>
          <w:rFonts w:ascii="Times New Roman" w:hAnsi="Times New Roman" w:cs="Times New Roman"/>
          <w:sz w:val="26"/>
          <w:szCs w:val="26"/>
        </w:rPr>
      </w:pPr>
      <w:r w:rsidRPr="000C60D0">
        <w:rPr>
          <w:rFonts w:ascii="Times New Roman" w:hAnsi="Times New Roman" w:cs="Times New Roman"/>
          <w:sz w:val="26"/>
          <w:szCs w:val="26"/>
        </w:rPr>
        <w:t xml:space="preserve">ĐẠI HỘI ĐỒNG CỔ ĐÔNG </w:t>
      </w:r>
      <w:r>
        <w:rPr>
          <w:rFonts w:ascii="Times New Roman" w:hAnsi="Times New Roman" w:cs="Times New Roman"/>
          <w:sz w:val="26"/>
          <w:szCs w:val="26"/>
        </w:rPr>
        <w:t>BẤT THƯỜNG</w:t>
      </w:r>
      <w:r w:rsidRPr="000C60D0">
        <w:rPr>
          <w:rFonts w:ascii="Times New Roman" w:hAnsi="Times New Roman" w:cs="Times New Roman"/>
          <w:sz w:val="26"/>
          <w:szCs w:val="26"/>
        </w:rPr>
        <w:t xml:space="preserve"> NĂM 2012</w:t>
      </w:r>
    </w:p>
    <w:p w:rsidR="00463250" w:rsidRDefault="00463250" w:rsidP="000C60D0">
      <w:pPr>
        <w:pStyle w:val="BodyTextIndent3"/>
        <w:keepNext/>
        <w:spacing w:line="288" w:lineRule="auto"/>
        <w:ind w:left="0"/>
        <w:jc w:val="center"/>
        <w:rPr>
          <w:rFonts w:ascii="Times New Roman" w:hAnsi="Times New Roman" w:cs="Times New Roman"/>
          <w:sz w:val="10"/>
          <w:szCs w:val="10"/>
        </w:rPr>
      </w:pPr>
      <w:r w:rsidRPr="00E15295">
        <w:rPr>
          <w:rFonts w:ascii="Times New Roman" w:hAnsi="Times New Roman" w:cs="Times New Roman"/>
          <w:sz w:val="10"/>
          <w:szCs w:val="10"/>
        </w:rPr>
        <w:t>______________________________________________</w:t>
      </w:r>
    </w:p>
    <w:p w:rsidR="00463250" w:rsidRDefault="00463250" w:rsidP="000C60D0">
      <w:pPr>
        <w:pStyle w:val="BodyTextIndent3"/>
        <w:keepNext/>
        <w:spacing w:line="288" w:lineRule="auto"/>
        <w:ind w:left="0"/>
        <w:jc w:val="center"/>
        <w:rPr>
          <w:rFonts w:ascii="Times New Roman" w:hAnsi="Times New Roman" w:cs="Times New Roman"/>
          <w:sz w:val="10"/>
          <w:szCs w:val="10"/>
        </w:rPr>
      </w:pPr>
    </w:p>
    <w:p w:rsidR="00463250" w:rsidRDefault="00463250" w:rsidP="000C60D0">
      <w:pPr>
        <w:pStyle w:val="BodyTextIndent3"/>
        <w:keepNext/>
        <w:spacing w:line="288" w:lineRule="auto"/>
        <w:ind w:left="0"/>
        <w:jc w:val="center"/>
        <w:rPr>
          <w:rFonts w:ascii="Times New Roman" w:hAnsi="Times New Roman" w:cs="Times New Roman"/>
          <w:sz w:val="10"/>
          <w:szCs w:val="10"/>
        </w:rPr>
      </w:pPr>
    </w:p>
    <w:p w:rsidR="00463250" w:rsidRPr="00E15295" w:rsidRDefault="00463250" w:rsidP="000C60D0">
      <w:pPr>
        <w:pStyle w:val="BodyTextIndent3"/>
        <w:keepNext/>
        <w:spacing w:line="288" w:lineRule="auto"/>
        <w:ind w:left="0"/>
        <w:jc w:val="center"/>
        <w:rPr>
          <w:rFonts w:ascii="Times New Roman" w:hAnsi="Times New Roman" w:cs="Times New Roman"/>
          <w:sz w:val="10"/>
          <w:szCs w:val="10"/>
        </w:rPr>
      </w:pPr>
    </w:p>
    <w:p w:rsidR="00463250" w:rsidRPr="00E15295" w:rsidRDefault="00463250" w:rsidP="000C60D0">
      <w:pPr>
        <w:pStyle w:val="BodyTextIndent3"/>
        <w:keepNext/>
        <w:spacing w:line="288" w:lineRule="auto"/>
        <w:ind w:left="0" w:firstLine="720"/>
        <w:jc w:val="center"/>
        <w:rPr>
          <w:rFonts w:ascii="Times New Roman" w:hAnsi="Times New Roman" w:cs="Times New Roman"/>
          <w:b/>
          <w:bCs/>
          <w:sz w:val="26"/>
          <w:szCs w:val="26"/>
        </w:rPr>
      </w:pPr>
      <w:r w:rsidRPr="00E15295">
        <w:rPr>
          <w:rFonts w:ascii="Times New Roman" w:hAnsi="Times New Roman" w:cs="Times New Roman"/>
          <w:b/>
          <w:bCs/>
          <w:sz w:val="26"/>
          <w:szCs w:val="26"/>
        </w:rPr>
        <w:t>ĐẠI HỘI ĐỒNG CỔ ĐÔNG</w:t>
      </w:r>
    </w:p>
    <w:p w:rsidR="00463250" w:rsidRPr="00E15295" w:rsidRDefault="00463250" w:rsidP="000C60D0">
      <w:pPr>
        <w:pStyle w:val="BodyTextIndent3"/>
        <w:keepNext/>
        <w:spacing w:line="288" w:lineRule="auto"/>
        <w:ind w:left="0" w:firstLine="720"/>
        <w:jc w:val="center"/>
        <w:rPr>
          <w:rFonts w:ascii="Times New Roman" w:hAnsi="Times New Roman" w:cs="Times New Roman"/>
          <w:b/>
          <w:bCs/>
          <w:sz w:val="26"/>
          <w:szCs w:val="26"/>
        </w:rPr>
      </w:pPr>
      <w:r w:rsidRPr="00E15295">
        <w:rPr>
          <w:rFonts w:ascii="Times New Roman" w:hAnsi="Times New Roman" w:cs="Times New Roman"/>
          <w:b/>
          <w:bCs/>
          <w:sz w:val="26"/>
          <w:szCs w:val="26"/>
        </w:rPr>
        <w:t>CÔNG TY CỔ PHẦN THAN HÀ LẦM - VINACOMIN</w:t>
      </w:r>
    </w:p>
    <w:p w:rsidR="00463250" w:rsidRPr="000C60D0" w:rsidRDefault="00463250" w:rsidP="000C60D0">
      <w:pPr>
        <w:keepNext/>
        <w:spacing w:before="120" w:after="240" w:line="312" w:lineRule="auto"/>
        <w:jc w:val="center"/>
        <w:rPr>
          <w:b/>
          <w:bCs/>
          <w:sz w:val="2"/>
          <w:szCs w:val="2"/>
        </w:rPr>
      </w:pPr>
    </w:p>
    <w:p w:rsidR="00463250" w:rsidRPr="003905D4" w:rsidRDefault="00463250" w:rsidP="00E53ABE">
      <w:pPr>
        <w:keepNext/>
        <w:numPr>
          <w:ilvl w:val="0"/>
          <w:numId w:val="7"/>
        </w:numPr>
        <w:tabs>
          <w:tab w:val="clear" w:pos="1080"/>
          <w:tab w:val="num" w:pos="450"/>
        </w:tabs>
        <w:spacing w:after="0" w:line="240" w:lineRule="auto"/>
        <w:ind w:left="446" w:hanging="446"/>
      </w:pPr>
      <w:r w:rsidRPr="003905D4">
        <w:t>Căn cứ Luật doanh nghiệp được Quốc hội nước Cộng hòa xã hội chủ nghĩa Việt Nam thông qua tại kỳ họp lần thứ VIII, Quốc hội khóa XI ngày 29/11/2005;</w:t>
      </w:r>
    </w:p>
    <w:p w:rsidR="00463250" w:rsidRPr="003905D4" w:rsidRDefault="00463250" w:rsidP="00E53ABE">
      <w:pPr>
        <w:keepNext/>
        <w:numPr>
          <w:ilvl w:val="0"/>
          <w:numId w:val="7"/>
        </w:numPr>
        <w:tabs>
          <w:tab w:val="clear" w:pos="1080"/>
          <w:tab w:val="num" w:pos="450"/>
        </w:tabs>
        <w:spacing w:after="0" w:line="240" w:lineRule="auto"/>
        <w:ind w:left="446" w:hanging="446"/>
      </w:pPr>
      <w:r w:rsidRPr="003905D4">
        <w:t>Căn cứ Điều lệ Tổ chức và hoạt động của Công ty cổ phần Than Hà Lầm-TKV (nay là Công ty cổ phần Than Hà Lầm-Vinacomin)</w:t>
      </w:r>
    </w:p>
    <w:p w:rsidR="00463250" w:rsidRPr="003905D4" w:rsidRDefault="00463250" w:rsidP="00E53ABE">
      <w:pPr>
        <w:keepNext/>
        <w:numPr>
          <w:ilvl w:val="0"/>
          <w:numId w:val="7"/>
        </w:numPr>
        <w:tabs>
          <w:tab w:val="clear" w:pos="1080"/>
          <w:tab w:val="num" w:pos="450"/>
        </w:tabs>
        <w:spacing w:after="0" w:line="240" w:lineRule="auto"/>
        <w:ind w:left="446" w:hanging="446"/>
      </w:pPr>
      <w:r w:rsidRPr="003905D4">
        <w:t>Căn cứ Quy chế tổ chức Đại hội đồng cổ đông bất thường năm 2012 Công ty Cổ phần Than Hà Lầm - Vinacomin đã được Đại hội đồng cổ đông thông qua vào ngày 25/11/2012;</w:t>
      </w:r>
    </w:p>
    <w:p w:rsidR="00463250" w:rsidRPr="003905D4" w:rsidRDefault="00463250" w:rsidP="00E53ABE">
      <w:pPr>
        <w:keepNext/>
        <w:numPr>
          <w:ilvl w:val="0"/>
          <w:numId w:val="7"/>
        </w:numPr>
        <w:tabs>
          <w:tab w:val="clear" w:pos="1080"/>
          <w:tab w:val="num" w:pos="450"/>
        </w:tabs>
        <w:spacing w:after="0" w:line="240" w:lineRule="auto"/>
        <w:ind w:left="446" w:hanging="446"/>
      </w:pPr>
      <w:r w:rsidRPr="003905D4">
        <w:t>Căn cứ Biên bản cuộc họp Đại hội đồng cổ đông bất thường năm 2012 Công ty Cổ phần Than Hà Lầm - Vinacomin ngày 25/11/2012;</w:t>
      </w:r>
    </w:p>
    <w:p w:rsidR="00463250" w:rsidRPr="003905D4" w:rsidRDefault="00463250" w:rsidP="003905D4">
      <w:pPr>
        <w:keepNext/>
        <w:numPr>
          <w:ilvl w:val="0"/>
          <w:numId w:val="7"/>
        </w:numPr>
        <w:tabs>
          <w:tab w:val="clear" w:pos="1080"/>
          <w:tab w:val="num" w:pos="450"/>
        </w:tabs>
        <w:spacing w:after="0" w:line="240" w:lineRule="auto"/>
        <w:ind w:left="446" w:hanging="446"/>
      </w:pPr>
      <w:r w:rsidRPr="003905D4">
        <w:t xml:space="preserve">Đại hội đồng cổ đông bất thường năm 2012 của Công ty Cổ phần Than Hà Lầm - Vinacomin thống nhất, </w:t>
      </w:r>
    </w:p>
    <w:p w:rsidR="00463250" w:rsidRPr="003905D4" w:rsidRDefault="00463250" w:rsidP="003905D4">
      <w:pPr>
        <w:keepNext/>
        <w:numPr>
          <w:ilvl w:val="0"/>
          <w:numId w:val="7"/>
        </w:numPr>
        <w:tabs>
          <w:tab w:val="clear" w:pos="1080"/>
          <w:tab w:val="num" w:pos="450"/>
        </w:tabs>
        <w:spacing w:after="0" w:line="240" w:lineRule="auto"/>
        <w:ind w:left="446" w:hanging="446"/>
      </w:pPr>
    </w:p>
    <w:p w:rsidR="00463250" w:rsidRPr="003905D4" w:rsidRDefault="00463250" w:rsidP="003905D4">
      <w:pPr>
        <w:keepNext/>
        <w:tabs>
          <w:tab w:val="left" w:pos="450"/>
        </w:tabs>
        <w:spacing w:after="0" w:line="240" w:lineRule="auto"/>
        <w:jc w:val="center"/>
        <w:rPr>
          <w:b/>
          <w:bCs/>
        </w:rPr>
      </w:pPr>
      <w:r w:rsidRPr="003905D4">
        <w:rPr>
          <w:b/>
          <w:bCs/>
        </w:rPr>
        <w:t>QUYẾT NGHỊ:</w:t>
      </w:r>
    </w:p>
    <w:p w:rsidR="00463250" w:rsidRPr="003905D4" w:rsidRDefault="00463250" w:rsidP="003905D4">
      <w:pPr>
        <w:keepNext/>
        <w:tabs>
          <w:tab w:val="left" w:pos="450"/>
        </w:tabs>
        <w:spacing w:after="0" w:line="240" w:lineRule="auto"/>
        <w:jc w:val="center"/>
        <w:rPr>
          <w:b/>
          <w:bCs/>
        </w:rPr>
      </w:pPr>
    </w:p>
    <w:p w:rsidR="00463250" w:rsidRPr="003905D4" w:rsidRDefault="00463250" w:rsidP="00E53ABE">
      <w:pPr>
        <w:keepNext/>
        <w:tabs>
          <w:tab w:val="left" w:pos="450"/>
        </w:tabs>
        <w:spacing w:after="0" w:line="240" w:lineRule="auto"/>
      </w:pPr>
      <w:r w:rsidRPr="003905D4">
        <w:rPr>
          <w:b/>
          <w:bCs/>
        </w:rPr>
        <w:tab/>
      </w:r>
      <w:r w:rsidRPr="003905D4">
        <w:rPr>
          <w:b/>
          <w:bCs/>
        </w:rPr>
        <w:tab/>
        <w:t xml:space="preserve">Điều 1. </w:t>
      </w:r>
      <w:r w:rsidRPr="003905D4">
        <w:t>Thông qua phương án tăng vốn điều lệ từ 119.556.750.000 đồng lên 300.000.000.000 đồng (Ba trăm tỷ đồng)</w:t>
      </w:r>
    </w:p>
    <w:p w:rsidR="00463250" w:rsidRPr="003905D4" w:rsidRDefault="00463250" w:rsidP="00E53ABE">
      <w:pPr>
        <w:keepNext/>
        <w:tabs>
          <w:tab w:val="left" w:pos="450"/>
        </w:tabs>
        <w:spacing w:after="0" w:line="240" w:lineRule="auto"/>
      </w:pPr>
    </w:p>
    <w:p w:rsidR="00463250" w:rsidRPr="003905D4" w:rsidRDefault="00463250" w:rsidP="00E53ABE">
      <w:pPr>
        <w:keepNext/>
        <w:tabs>
          <w:tab w:val="left" w:pos="450"/>
          <w:tab w:val="left" w:pos="3600"/>
        </w:tabs>
        <w:spacing w:after="0" w:line="240" w:lineRule="auto"/>
        <w:rPr>
          <w:b/>
          <w:bCs/>
          <w:i/>
          <w:iCs/>
        </w:rPr>
      </w:pPr>
      <w:r w:rsidRPr="003905D4">
        <w:rPr>
          <w:b/>
          <w:bCs/>
          <w:i/>
          <w:iCs/>
        </w:rPr>
        <w:t xml:space="preserve">1. </w:t>
      </w:r>
      <w:r w:rsidRPr="003905D4">
        <w:rPr>
          <w:b/>
          <w:bCs/>
          <w:i/>
          <w:iCs/>
        </w:rPr>
        <w:tab/>
        <w:t>Cổ phiếu phát hành</w:t>
      </w:r>
    </w:p>
    <w:p w:rsidR="00463250" w:rsidRPr="003905D4" w:rsidRDefault="00463250" w:rsidP="00E53ABE">
      <w:pPr>
        <w:keepNext/>
        <w:tabs>
          <w:tab w:val="left" w:pos="450"/>
          <w:tab w:val="left" w:pos="1980"/>
          <w:tab w:val="left" w:pos="3600"/>
          <w:tab w:val="left" w:pos="3960"/>
        </w:tabs>
        <w:spacing w:after="0" w:line="240" w:lineRule="auto"/>
      </w:pPr>
      <w:r w:rsidRPr="003905D4">
        <w:t xml:space="preserve">- </w:t>
      </w:r>
      <w:r w:rsidRPr="003905D4">
        <w:tab/>
        <w:t>Loại cổ phiếu:</w:t>
      </w:r>
      <w:r w:rsidRPr="003905D4">
        <w:tab/>
      </w:r>
      <w:r w:rsidRPr="003905D4">
        <w:tab/>
      </w:r>
      <w:r w:rsidRPr="003905D4">
        <w:tab/>
        <w:t>Cổ phiếu phổ thông</w:t>
      </w:r>
    </w:p>
    <w:p w:rsidR="00463250" w:rsidRPr="003905D4" w:rsidRDefault="00463250" w:rsidP="00E53ABE">
      <w:pPr>
        <w:keepNext/>
        <w:tabs>
          <w:tab w:val="left" w:pos="450"/>
          <w:tab w:val="left" w:pos="1980"/>
          <w:tab w:val="left" w:pos="3600"/>
          <w:tab w:val="left" w:pos="3960"/>
        </w:tabs>
        <w:spacing w:after="0" w:line="240" w:lineRule="auto"/>
      </w:pPr>
      <w:r w:rsidRPr="003905D4">
        <w:t xml:space="preserve">- </w:t>
      </w:r>
      <w:r w:rsidRPr="003905D4">
        <w:tab/>
        <w:t>Mệnh giá:</w:t>
      </w:r>
      <w:r w:rsidRPr="003905D4">
        <w:tab/>
      </w:r>
      <w:r w:rsidRPr="003905D4">
        <w:tab/>
      </w:r>
      <w:r w:rsidRPr="003905D4">
        <w:tab/>
        <w:t>10.000 đồng/cổ phiếu</w:t>
      </w:r>
    </w:p>
    <w:p w:rsidR="00463250" w:rsidRPr="003905D4" w:rsidRDefault="00463250" w:rsidP="00E53ABE">
      <w:pPr>
        <w:keepNext/>
        <w:tabs>
          <w:tab w:val="left" w:pos="450"/>
          <w:tab w:val="left" w:pos="1980"/>
          <w:tab w:val="left" w:pos="3600"/>
          <w:tab w:val="left" w:pos="3960"/>
        </w:tabs>
        <w:spacing w:after="0" w:line="240" w:lineRule="auto"/>
      </w:pPr>
      <w:r w:rsidRPr="003905D4">
        <w:t xml:space="preserve">- </w:t>
      </w:r>
      <w:r w:rsidRPr="003905D4">
        <w:tab/>
        <w:t xml:space="preserve">Số lượng cổ phiếu phát hành: </w:t>
      </w:r>
      <w:r w:rsidRPr="003905D4">
        <w:tab/>
      </w:r>
      <w:r w:rsidRPr="003905D4">
        <w:tab/>
        <w:t>18.044.325 cổ phiếu</w:t>
      </w:r>
    </w:p>
    <w:p w:rsidR="00463250" w:rsidRPr="003905D4" w:rsidRDefault="00463250" w:rsidP="00E53ABE">
      <w:pPr>
        <w:keepNext/>
        <w:tabs>
          <w:tab w:val="left" w:pos="450"/>
          <w:tab w:val="left" w:pos="1980"/>
          <w:tab w:val="left" w:pos="3600"/>
          <w:tab w:val="left" w:pos="3960"/>
        </w:tabs>
        <w:spacing w:after="0" w:line="240" w:lineRule="auto"/>
      </w:pPr>
      <w:r w:rsidRPr="003905D4">
        <w:t xml:space="preserve">- </w:t>
      </w:r>
      <w:r w:rsidRPr="003905D4">
        <w:tab/>
        <w:t>Vốn điều lệ trước khi phát hành: 119.556.750.000 đồng</w:t>
      </w:r>
    </w:p>
    <w:p w:rsidR="00463250" w:rsidRPr="003905D4" w:rsidRDefault="00463250" w:rsidP="00E53ABE">
      <w:pPr>
        <w:keepNext/>
        <w:tabs>
          <w:tab w:val="left" w:pos="450"/>
          <w:tab w:val="left" w:pos="1980"/>
          <w:tab w:val="left" w:pos="3600"/>
          <w:tab w:val="left" w:pos="3960"/>
        </w:tabs>
        <w:spacing w:after="0" w:line="240" w:lineRule="auto"/>
      </w:pPr>
      <w:r w:rsidRPr="003905D4">
        <w:t xml:space="preserve">- </w:t>
      </w:r>
      <w:r w:rsidRPr="003905D4">
        <w:tab/>
        <w:t>Vốn điều lệ tăng thêm:</w:t>
      </w:r>
      <w:r w:rsidRPr="003905D4">
        <w:tab/>
      </w:r>
      <w:r w:rsidRPr="003905D4">
        <w:tab/>
        <w:t>180.443.250.000 đồng</w:t>
      </w:r>
    </w:p>
    <w:p w:rsidR="00463250" w:rsidRPr="003905D4" w:rsidRDefault="00463250" w:rsidP="00E53ABE">
      <w:pPr>
        <w:keepNext/>
        <w:tabs>
          <w:tab w:val="left" w:pos="450"/>
          <w:tab w:val="left" w:pos="1980"/>
          <w:tab w:val="left" w:pos="3600"/>
          <w:tab w:val="left" w:pos="3960"/>
        </w:tabs>
        <w:spacing w:after="0" w:line="240" w:lineRule="auto"/>
      </w:pPr>
      <w:r w:rsidRPr="003905D4">
        <w:t xml:space="preserve">- </w:t>
      </w:r>
      <w:r w:rsidRPr="003905D4">
        <w:tab/>
        <w:t>Vốn điều lệ sau khi phát hành:</w:t>
      </w:r>
      <w:r w:rsidRPr="003905D4">
        <w:tab/>
        <w:t>300.000.000.000 đồng</w:t>
      </w:r>
    </w:p>
    <w:p w:rsidR="00463250" w:rsidRPr="003905D4" w:rsidRDefault="00463250" w:rsidP="00E53ABE">
      <w:pPr>
        <w:keepNext/>
        <w:tabs>
          <w:tab w:val="left" w:pos="450"/>
          <w:tab w:val="left" w:pos="1980"/>
          <w:tab w:val="left" w:pos="3600"/>
          <w:tab w:val="left" w:pos="3960"/>
        </w:tabs>
        <w:spacing w:after="0" w:line="240" w:lineRule="auto"/>
      </w:pPr>
      <w:r w:rsidRPr="003905D4">
        <w:t>-</w:t>
      </w:r>
      <w:r w:rsidRPr="003905D4">
        <w:tab/>
        <w:t>Thời gian phát hành dự kiến:</w:t>
      </w:r>
      <w:r w:rsidRPr="003905D4">
        <w:tab/>
      </w:r>
      <w:r w:rsidRPr="003905D4">
        <w:tab/>
      </w:r>
      <w:r w:rsidRPr="007C1407">
        <w:t>Quý IV/2012</w:t>
      </w:r>
    </w:p>
    <w:p w:rsidR="00463250" w:rsidRPr="003905D4" w:rsidRDefault="00463250" w:rsidP="00E53ABE">
      <w:pPr>
        <w:keepNext/>
        <w:tabs>
          <w:tab w:val="left" w:pos="450"/>
          <w:tab w:val="left" w:pos="1980"/>
          <w:tab w:val="left" w:pos="3600"/>
          <w:tab w:val="left" w:pos="3960"/>
        </w:tabs>
        <w:spacing w:after="0" w:line="240" w:lineRule="auto"/>
      </w:pPr>
      <w:r w:rsidRPr="003905D4">
        <w:tab/>
        <w:t>Thời gian phát hành cụ thể sẽ do Hội đồng quản trị Công ty quyết định chính thức.</w:t>
      </w:r>
    </w:p>
    <w:p w:rsidR="00463250" w:rsidRPr="003905D4" w:rsidRDefault="00463250" w:rsidP="00E53ABE">
      <w:pPr>
        <w:keepNext/>
        <w:tabs>
          <w:tab w:val="left" w:pos="450"/>
          <w:tab w:val="left" w:pos="1980"/>
          <w:tab w:val="left" w:pos="3600"/>
          <w:tab w:val="left" w:pos="3960"/>
        </w:tabs>
        <w:spacing w:after="0" w:line="240" w:lineRule="auto"/>
      </w:pPr>
    </w:p>
    <w:p w:rsidR="00463250" w:rsidRPr="003905D4" w:rsidRDefault="00463250" w:rsidP="00E53ABE">
      <w:pPr>
        <w:keepNext/>
        <w:tabs>
          <w:tab w:val="left" w:pos="450"/>
          <w:tab w:val="left" w:pos="3960"/>
        </w:tabs>
        <w:spacing w:after="0" w:line="240" w:lineRule="auto"/>
        <w:rPr>
          <w:b/>
          <w:bCs/>
          <w:i/>
          <w:iCs/>
        </w:rPr>
      </w:pPr>
      <w:r w:rsidRPr="003905D4">
        <w:rPr>
          <w:b/>
          <w:bCs/>
          <w:i/>
          <w:iCs/>
        </w:rPr>
        <w:t xml:space="preserve">2. </w:t>
      </w:r>
      <w:r w:rsidRPr="003905D4">
        <w:rPr>
          <w:b/>
          <w:bCs/>
          <w:i/>
          <w:iCs/>
        </w:rPr>
        <w:tab/>
        <w:t>Phương thức phát hành</w:t>
      </w:r>
    </w:p>
    <w:p w:rsidR="00463250" w:rsidRPr="003905D4" w:rsidRDefault="00463250" w:rsidP="00E53ABE">
      <w:pPr>
        <w:keepNext/>
        <w:tabs>
          <w:tab w:val="left" w:pos="450"/>
        </w:tabs>
        <w:spacing w:after="0" w:line="240" w:lineRule="auto"/>
        <w:ind w:left="450" w:hanging="450"/>
      </w:pPr>
      <w:r w:rsidRPr="003905D4">
        <w:t>2.1.</w:t>
      </w:r>
      <w:r w:rsidRPr="003905D4">
        <w:tab/>
        <w:t>Phát hành cổ phiếu thưởng cho cổ đông hiện hữu từ số dư các Quỹ được hình thành từ lợi nhuận sau thuế lũy kế đến 31/12/2011</w:t>
      </w:r>
    </w:p>
    <w:p w:rsidR="00463250" w:rsidRPr="003905D4" w:rsidRDefault="00463250" w:rsidP="00E53ABE">
      <w:pPr>
        <w:keepNext/>
        <w:tabs>
          <w:tab w:val="left" w:pos="450"/>
          <w:tab w:val="left" w:pos="3960"/>
        </w:tabs>
        <w:spacing w:after="0" w:line="240" w:lineRule="auto"/>
        <w:ind w:left="450" w:hanging="450"/>
      </w:pPr>
      <w:r w:rsidRPr="003905D4">
        <w:t xml:space="preserve">- </w:t>
      </w:r>
      <w:r w:rsidRPr="003905D4">
        <w:tab/>
        <w:t>Số lượng cổ phiếu phát hành: 1.992.612 cổ phiếu</w:t>
      </w:r>
    </w:p>
    <w:p w:rsidR="00463250" w:rsidRPr="003905D4" w:rsidRDefault="00463250" w:rsidP="00E53ABE">
      <w:pPr>
        <w:keepNext/>
        <w:tabs>
          <w:tab w:val="left" w:pos="450"/>
          <w:tab w:val="left" w:pos="2340"/>
          <w:tab w:val="left" w:pos="3600"/>
        </w:tabs>
        <w:spacing w:after="0" w:line="240" w:lineRule="auto"/>
        <w:ind w:left="3600" w:hanging="3600"/>
      </w:pPr>
      <w:r w:rsidRPr="003905D4">
        <w:t>-</w:t>
      </w:r>
      <w:r w:rsidRPr="003905D4">
        <w:tab/>
        <w:t xml:space="preserve">Tỷ lệ thực hiện: </w:t>
      </w:r>
      <w:r w:rsidRPr="003905D4">
        <w:tab/>
      </w:r>
      <w:r w:rsidRPr="003905D4">
        <w:tab/>
        <w:t xml:space="preserve">6 : 1 </w:t>
      </w:r>
      <w:r w:rsidRPr="003905D4">
        <w:rPr>
          <w:i/>
          <w:iCs/>
        </w:rPr>
        <w:t>(Tại ngày chốt danh sách sở hữu cuối cùng, cổ đông sở hữu 06 cổ phiếu sẽ được thưởng 01 cổ phiếu mới)</w:t>
      </w:r>
    </w:p>
    <w:p w:rsidR="00463250" w:rsidRPr="003905D4" w:rsidRDefault="00463250" w:rsidP="00E53ABE">
      <w:pPr>
        <w:keepNext/>
        <w:tabs>
          <w:tab w:val="left" w:pos="450"/>
          <w:tab w:val="left" w:pos="810"/>
          <w:tab w:val="left" w:pos="3330"/>
          <w:tab w:val="left" w:pos="3960"/>
        </w:tabs>
        <w:spacing w:after="0" w:line="240" w:lineRule="auto"/>
        <w:ind w:left="450" w:hanging="450"/>
      </w:pPr>
      <w:r w:rsidRPr="003905D4">
        <w:t>-</w:t>
      </w:r>
      <w:r w:rsidRPr="003905D4">
        <w:tab/>
        <w:t>Nguyên tắc làm tròn:</w:t>
      </w:r>
    </w:p>
    <w:p w:rsidR="00463250" w:rsidRPr="003905D4" w:rsidRDefault="00463250" w:rsidP="00E53ABE">
      <w:pPr>
        <w:keepNext/>
        <w:tabs>
          <w:tab w:val="left" w:pos="450"/>
          <w:tab w:val="left" w:pos="810"/>
          <w:tab w:val="left" w:pos="3330"/>
          <w:tab w:val="left" w:pos="3960"/>
        </w:tabs>
        <w:spacing w:after="0" w:line="240" w:lineRule="auto"/>
        <w:ind w:left="450" w:hanging="450"/>
      </w:pPr>
      <w:r w:rsidRPr="003905D4">
        <w:tab/>
        <w:t>Số cổ phiếu thưởng sẽ được làm tròn đến hàng đơn vị để đảm bảo tổng số lượng cổ phiếu phát hành không vượt quá số lượng cổ phiếu dự kiến phát hành.</w:t>
      </w:r>
    </w:p>
    <w:p w:rsidR="00463250" w:rsidRPr="003905D4" w:rsidRDefault="00463250" w:rsidP="00E53ABE">
      <w:pPr>
        <w:keepNext/>
        <w:tabs>
          <w:tab w:val="left" w:pos="450"/>
          <w:tab w:val="left" w:pos="810"/>
          <w:tab w:val="left" w:pos="3330"/>
          <w:tab w:val="left" w:pos="3960"/>
        </w:tabs>
        <w:spacing w:after="0" w:line="240" w:lineRule="auto"/>
        <w:ind w:left="450" w:hanging="450"/>
      </w:pPr>
      <w:r w:rsidRPr="003905D4">
        <w:tab/>
      </w:r>
      <w:r w:rsidRPr="003905D4">
        <w:rPr>
          <w:i/>
          <w:iCs/>
          <w:u w:val="single"/>
        </w:rPr>
        <w:t>Ví dụ:</w:t>
      </w:r>
      <w:r w:rsidRPr="003905D4">
        <w:t xml:space="preserve"> Một cổ đông A đang sở hữu 10 cổ phiếu tại ngày chốt danh sách sở hữu cuối cùng, theo tỷ lệ thực hiện quyền 6 : 1 thì cổ đông A được thưởng (10 : 6) x 1 = 1,7 cổ phiếu mới. Theo nguyên tắc làm tròn nêu trên, cổ đông A sẽ được thưởng thêm 1 cổ phiếu mới. </w:t>
      </w:r>
    </w:p>
    <w:p w:rsidR="00463250" w:rsidRPr="003905D4" w:rsidRDefault="00463250" w:rsidP="00E53ABE">
      <w:pPr>
        <w:keepNext/>
        <w:tabs>
          <w:tab w:val="left" w:pos="450"/>
          <w:tab w:val="left" w:pos="810"/>
          <w:tab w:val="left" w:pos="3330"/>
          <w:tab w:val="left" w:pos="3960"/>
        </w:tabs>
        <w:spacing w:after="0" w:line="240" w:lineRule="auto"/>
        <w:ind w:left="450" w:hanging="450"/>
      </w:pPr>
      <w:r w:rsidRPr="003905D4">
        <w:t>-</w:t>
      </w:r>
      <w:r w:rsidRPr="003905D4">
        <w:tab/>
        <w:t>Phương án xử lý số cổ phiếu lẻ:</w:t>
      </w:r>
    </w:p>
    <w:p w:rsidR="00463250" w:rsidRPr="003905D4" w:rsidRDefault="00463250" w:rsidP="00E53ABE">
      <w:pPr>
        <w:keepNext/>
        <w:tabs>
          <w:tab w:val="left" w:pos="450"/>
          <w:tab w:val="left" w:pos="810"/>
          <w:tab w:val="left" w:pos="3330"/>
          <w:tab w:val="left" w:pos="3960"/>
        </w:tabs>
        <w:spacing w:after="0" w:line="240" w:lineRule="auto"/>
        <w:ind w:left="450" w:hanging="450"/>
      </w:pPr>
      <w:r w:rsidRPr="003905D4">
        <w:tab/>
        <w:t>Số cổ phiếu lẻ phát sinh do việc phát hành cổ phiếu thưởng sẽ bị hủy và số vốn điều lệ mới được đăng ký trên số cổ phần thực tế phân phối được.</w:t>
      </w:r>
    </w:p>
    <w:p w:rsidR="00463250" w:rsidRPr="003905D4" w:rsidRDefault="00463250" w:rsidP="00E53ABE">
      <w:pPr>
        <w:keepNext/>
        <w:tabs>
          <w:tab w:val="left" w:pos="450"/>
          <w:tab w:val="left" w:pos="3960"/>
        </w:tabs>
        <w:spacing w:after="0" w:line="240" w:lineRule="auto"/>
        <w:ind w:left="450" w:hanging="450"/>
      </w:pPr>
      <w:r w:rsidRPr="003905D4">
        <w:t>-</w:t>
      </w:r>
      <w:r w:rsidRPr="003905D4">
        <w:tab/>
        <w:t>Nguồn hình thành cổ phiếu thưởng:</w:t>
      </w:r>
    </w:p>
    <w:p w:rsidR="00463250" w:rsidRPr="003905D4" w:rsidRDefault="00463250" w:rsidP="00E53ABE">
      <w:pPr>
        <w:keepNext/>
        <w:tabs>
          <w:tab w:val="left" w:pos="450"/>
          <w:tab w:val="left" w:pos="3960"/>
        </w:tabs>
        <w:spacing w:after="0" w:line="240" w:lineRule="auto"/>
        <w:ind w:left="450" w:hanging="450"/>
      </w:pPr>
      <w:r w:rsidRPr="003905D4">
        <w:tab/>
        <w:t>Công ty thực hiện trích 19.926.125.000 đồng để chia cổ phiếu thưởng từ số dư Quỹ đầu tư phát triển và vốn khác của chủ sở hữu lũy kế đến 31/12/2011.</w:t>
      </w:r>
    </w:p>
    <w:p w:rsidR="00463250" w:rsidRPr="003905D4" w:rsidRDefault="00463250" w:rsidP="00E53ABE">
      <w:pPr>
        <w:keepNext/>
        <w:tabs>
          <w:tab w:val="left" w:pos="450"/>
          <w:tab w:val="left" w:pos="3960"/>
        </w:tabs>
        <w:spacing w:after="0" w:line="240" w:lineRule="auto"/>
        <w:ind w:left="450" w:hanging="450"/>
      </w:pPr>
      <w:r w:rsidRPr="003905D4">
        <w:tab/>
        <w:t xml:space="preserve">Số dư Quỹ đầu tư phát triển và vốn khác của chủ sở hữu tại thời điểm 31/12/2011 (Báo cáo tài chính đã kiểm toán năm 2011 của Công ty Cổ phần Than Hà Lầm - Vinacomin): 20.316.400.102 đồng, </w:t>
      </w:r>
      <w:r w:rsidRPr="003905D4">
        <w:rPr>
          <w:i/>
          <w:iCs/>
        </w:rPr>
        <w:t>trong đó:</w:t>
      </w:r>
    </w:p>
    <w:p w:rsidR="00463250" w:rsidRPr="003905D4" w:rsidRDefault="00463250" w:rsidP="00E53ABE">
      <w:pPr>
        <w:keepNext/>
        <w:tabs>
          <w:tab w:val="left" w:pos="450"/>
          <w:tab w:val="left" w:pos="810"/>
          <w:tab w:val="left" w:pos="3330"/>
          <w:tab w:val="left" w:pos="3960"/>
        </w:tabs>
        <w:spacing w:after="0" w:line="240" w:lineRule="auto"/>
        <w:ind w:left="450" w:hanging="450"/>
        <w:rPr>
          <w:i/>
          <w:iCs/>
        </w:rPr>
      </w:pPr>
      <w:r w:rsidRPr="003905D4">
        <w:tab/>
        <w:t xml:space="preserve">+ </w:t>
      </w:r>
      <w:r w:rsidRPr="003905D4">
        <w:tab/>
        <w:t xml:space="preserve">Quỹ đầu tư phát triển: 17.738.468.217 đồng </w:t>
      </w:r>
    </w:p>
    <w:p w:rsidR="00463250" w:rsidRPr="003905D4" w:rsidRDefault="00463250" w:rsidP="00E53ABE">
      <w:pPr>
        <w:keepNext/>
        <w:tabs>
          <w:tab w:val="left" w:pos="450"/>
          <w:tab w:val="left" w:pos="810"/>
          <w:tab w:val="left" w:pos="3330"/>
          <w:tab w:val="left" w:pos="3960"/>
        </w:tabs>
        <w:spacing w:after="0" w:line="240" w:lineRule="auto"/>
        <w:ind w:left="450" w:hanging="450"/>
      </w:pPr>
      <w:r w:rsidRPr="003905D4">
        <w:tab/>
        <w:t>+</w:t>
      </w:r>
      <w:r w:rsidRPr="003905D4">
        <w:tab/>
        <w:t>Vốn khác của chủ sở hữu: 2.577.931.885 đồng</w:t>
      </w:r>
      <w:r w:rsidRPr="003905D4">
        <w:tab/>
      </w:r>
    </w:p>
    <w:p w:rsidR="00463250" w:rsidRPr="003905D4" w:rsidRDefault="00463250" w:rsidP="00E53ABE">
      <w:pPr>
        <w:keepNext/>
        <w:tabs>
          <w:tab w:val="left" w:pos="450"/>
        </w:tabs>
        <w:spacing w:after="0" w:line="240" w:lineRule="auto"/>
        <w:ind w:left="450" w:hanging="450"/>
      </w:pPr>
      <w:r w:rsidRPr="003905D4">
        <w:t>2.2.</w:t>
      </w:r>
      <w:r w:rsidRPr="003905D4">
        <w:tab/>
        <w:t>Phát hành thêm cổ phiếu để chào bán cho cổ đông hiện hữu</w:t>
      </w:r>
    </w:p>
    <w:p w:rsidR="00463250" w:rsidRPr="003905D4" w:rsidRDefault="00463250" w:rsidP="00E53ABE">
      <w:pPr>
        <w:keepNext/>
        <w:tabs>
          <w:tab w:val="left" w:pos="450"/>
          <w:tab w:val="left" w:pos="810"/>
          <w:tab w:val="left" w:pos="3330"/>
          <w:tab w:val="left" w:pos="3780"/>
        </w:tabs>
        <w:spacing w:after="0" w:line="240" w:lineRule="auto"/>
      </w:pPr>
      <w:r w:rsidRPr="003905D4">
        <w:t>-</w:t>
      </w:r>
      <w:r w:rsidRPr="003905D4">
        <w:tab/>
        <w:t>Số lượng cổ phiếu phát hành:</w:t>
      </w:r>
      <w:r w:rsidRPr="003905D4">
        <w:tab/>
        <w:t>16.051.713 cổ phiếu</w:t>
      </w:r>
    </w:p>
    <w:p w:rsidR="00463250" w:rsidRPr="003905D4" w:rsidRDefault="00463250" w:rsidP="00E53ABE">
      <w:pPr>
        <w:keepNext/>
        <w:tabs>
          <w:tab w:val="left" w:pos="450"/>
          <w:tab w:val="left" w:pos="810"/>
          <w:tab w:val="left" w:pos="3330"/>
          <w:tab w:val="left" w:pos="3780"/>
        </w:tabs>
        <w:spacing w:after="0" w:line="240" w:lineRule="auto"/>
      </w:pPr>
      <w:r w:rsidRPr="003905D4">
        <w:t>-</w:t>
      </w:r>
      <w:r w:rsidRPr="003905D4">
        <w:tab/>
        <w:t>Giá phát hành:</w:t>
      </w:r>
      <w:r w:rsidRPr="003905D4">
        <w:tab/>
      </w:r>
      <w:r w:rsidRPr="003905D4">
        <w:tab/>
        <w:t>10.000 đồng/cổ phiếu</w:t>
      </w:r>
    </w:p>
    <w:p w:rsidR="00463250" w:rsidRPr="003905D4" w:rsidRDefault="00463250" w:rsidP="00E53ABE">
      <w:pPr>
        <w:keepNext/>
        <w:tabs>
          <w:tab w:val="left" w:pos="450"/>
          <w:tab w:val="left" w:pos="810"/>
          <w:tab w:val="left" w:pos="3330"/>
          <w:tab w:val="left" w:pos="3780"/>
        </w:tabs>
        <w:spacing w:after="0" w:line="240" w:lineRule="auto"/>
        <w:ind w:left="3780" w:hanging="3780"/>
      </w:pPr>
      <w:r w:rsidRPr="003905D4">
        <w:t>-</w:t>
      </w:r>
      <w:r w:rsidRPr="003905D4">
        <w:tab/>
        <w:t>Tỷ lệ thực hiện quyền:</w:t>
      </w:r>
      <w:r w:rsidRPr="003905D4">
        <w:tab/>
      </w:r>
      <w:r w:rsidRPr="003905D4">
        <w:tab/>
        <w:t xml:space="preserve">1: 1,34 </w:t>
      </w:r>
      <w:r w:rsidRPr="003905D4">
        <w:rPr>
          <w:i/>
          <w:iCs/>
        </w:rPr>
        <w:t xml:space="preserve">(Tại ngày chốt danh sách sở hữu cuối cùng, cổ đông sở hữu 100 cổ phiếu sẽ được quyền mua thêm 134 cổ phiếu mới với giá 10.000 đồng/cổ phiếu) </w:t>
      </w:r>
      <w:r w:rsidRPr="003905D4">
        <w:t xml:space="preserve"> </w:t>
      </w:r>
    </w:p>
    <w:p w:rsidR="00463250" w:rsidRPr="003905D4" w:rsidRDefault="00463250" w:rsidP="00E53ABE">
      <w:pPr>
        <w:keepNext/>
        <w:tabs>
          <w:tab w:val="left" w:pos="450"/>
          <w:tab w:val="left" w:pos="810"/>
          <w:tab w:val="left" w:pos="3330"/>
          <w:tab w:val="left" w:pos="3780"/>
        </w:tabs>
        <w:spacing w:after="0" w:line="240" w:lineRule="auto"/>
      </w:pPr>
      <w:r w:rsidRPr="003905D4">
        <w:t>-</w:t>
      </w:r>
      <w:r w:rsidRPr="003905D4">
        <w:tab/>
        <w:t>Nguyên tắc làm tròn:</w:t>
      </w:r>
    </w:p>
    <w:p w:rsidR="00463250" w:rsidRPr="003905D4" w:rsidRDefault="00463250" w:rsidP="00E53ABE">
      <w:pPr>
        <w:keepNext/>
        <w:tabs>
          <w:tab w:val="left" w:pos="450"/>
          <w:tab w:val="left" w:pos="810"/>
          <w:tab w:val="left" w:pos="3330"/>
          <w:tab w:val="left" w:pos="3780"/>
        </w:tabs>
        <w:spacing w:after="0" w:line="240" w:lineRule="auto"/>
        <w:ind w:left="450" w:hanging="450"/>
      </w:pPr>
      <w:r w:rsidRPr="003905D4">
        <w:tab/>
        <w:t>Số cổ phiếu phát hành cho mỗi cổ đông hiện hữu sẽ được làm tròn xuống hàng đơn vị để đảm bảo tổng số lượng cổ phiếu phát hành không vượt quá số lượng cổ phiếu dự kiến phát hành.</w:t>
      </w:r>
    </w:p>
    <w:p w:rsidR="00463250" w:rsidRPr="003905D4" w:rsidRDefault="00463250" w:rsidP="00E53ABE">
      <w:pPr>
        <w:keepNext/>
        <w:tabs>
          <w:tab w:val="left" w:pos="450"/>
          <w:tab w:val="left" w:pos="810"/>
          <w:tab w:val="left" w:pos="3330"/>
          <w:tab w:val="left" w:pos="3780"/>
        </w:tabs>
        <w:spacing w:after="0" w:line="240" w:lineRule="auto"/>
        <w:ind w:left="450" w:hanging="450"/>
      </w:pPr>
      <w:r w:rsidRPr="003905D4">
        <w:tab/>
      </w:r>
      <w:r w:rsidRPr="003905D4">
        <w:rPr>
          <w:i/>
          <w:iCs/>
          <w:u w:val="single"/>
        </w:rPr>
        <w:t>Ví dụ:</w:t>
      </w:r>
      <w:r w:rsidRPr="003905D4">
        <w:t xml:space="preserve"> Một cổ đông B đang sở hữu 10 cổ phiếu tại ngày chốt danh sách cổ đông, theo tỷ lệ thực hiện quyền 1 : 1,34 thì cổ đông B được quyền mua thêm (10 : 1) x 1,34 = 13,4 cổ phiếu mới. Theo nguyên tắc làm tròn nêu trên, cổ đông B sẽ được quyền đăng ký mua thêm 13 cổ phiếu mới. Số cổ phiếu lẻ là 0,4 cổ phiếu sẽ được Hội đồng quản trị Công ty cộng dồn lại với số cổ phiếu lẻ của các cổ đông khác và bán phân phối cho các đối tượng khác theo cách thức và điều kiện phù hợp với giá bán không thấp hơn 10.000 đồng/cổ phiếu.</w:t>
      </w:r>
    </w:p>
    <w:p w:rsidR="00463250" w:rsidRPr="003905D4" w:rsidRDefault="00463250" w:rsidP="00E53ABE">
      <w:pPr>
        <w:keepNext/>
        <w:tabs>
          <w:tab w:val="left" w:pos="450"/>
          <w:tab w:val="left" w:pos="810"/>
          <w:tab w:val="left" w:pos="3330"/>
          <w:tab w:val="left" w:pos="3780"/>
        </w:tabs>
        <w:spacing w:after="0" w:line="240" w:lineRule="auto"/>
        <w:ind w:left="450" w:hanging="450"/>
      </w:pPr>
      <w:r w:rsidRPr="003905D4">
        <w:t>-</w:t>
      </w:r>
      <w:r w:rsidRPr="003905D4">
        <w:tab/>
        <w:t>Nguyên tắc chuyển nhượng quyền mua thêm cổ phiếu:</w:t>
      </w:r>
    </w:p>
    <w:p w:rsidR="00463250" w:rsidRPr="003905D4" w:rsidRDefault="00463250" w:rsidP="00E53ABE">
      <w:pPr>
        <w:keepNext/>
        <w:tabs>
          <w:tab w:val="left" w:pos="450"/>
          <w:tab w:val="left" w:pos="810"/>
          <w:tab w:val="left" w:pos="3330"/>
          <w:tab w:val="left" w:pos="3780"/>
        </w:tabs>
        <w:spacing w:after="0" w:line="240" w:lineRule="auto"/>
        <w:ind w:left="450" w:hanging="450"/>
      </w:pPr>
      <w:r w:rsidRPr="003905D4">
        <w:tab/>
        <w:t>Cổ đông sở hữu quyền mua có quyền chuyển nhượng quyền mua của mình cho người khác theo giá thỏa thuận giữa hai bên và chỉ được chuyển nhượng một lần (không được chuyển nhượng cho người thứ ba) trong thời gian quy định (thời gian này sẽ được Hội đồng quản trị Công ty thông báo sau khi được Ủy ban Chứng khoán Nhà nước cấp Giấy Chứng nhận chào bán cổ phiếu ra công chúng).</w:t>
      </w:r>
    </w:p>
    <w:p w:rsidR="00463250" w:rsidRPr="003905D4" w:rsidRDefault="00463250" w:rsidP="00E53ABE">
      <w:pPr>
        <w:keepNext/>
        <w:tabs>
          <w:tab w:val="left" w:pos="450"/>
          <w:tab w:val="left" w:pos="810"/>
          <w:tab w:val="left" w:pos="3330"/>
          <w:tab w:val="left" w:pos="3780"/>
        </w:tabs>
        <w:spacing w:after="0" w:line="240" w:lineRule="auto"/>
        <w:ind w:left="450" w:hanging="450"/>
      </w:pPr>
      <w:r w:rsidRPr="003905D4">
        <w:t>-</w:t>
      </w:r>
      <w:r w:rsidRPr="003905D4">
        <w:tab/>
        <w:t>Phương án xử lý số cổ phiếu còn dư:</w:t>
      </w:r>
    </w:p>
    <w:p w:rsidR="00463250" w:rsidRPr="003905D4" w:rsidRDefault="00463250" w:rsidP="00E53ABE">
      <w:pPr>
        <w:keepNext/>
        <w:tabs>
          <w:tab w:val="left" w:pos="450"/>
          <w:tab w:val="left" w:pos="810"/>
          <w:tab w:val="left" w:pos="3330"/>
          <w:tab w:val="left" w:pos="3780"/>
        </w:tabs>
        <w:spacing w:after="0" w:line="240" w:lineRule="auto"/>
        <w:ind w:left="450" w:hanging="450"/>
        <w:rPr>
          <w:i/>
          <w:iCs/>
        </w:rPr>
      </w:pPr>
      <w:r w:rsidRPr="003905D4">
        <w:tab/>
        <w:t xml:space="preserve">Đối với số cổ phiếu còn dư do cổ đông hiện hữu không thực hiện quyền, thực hiện quyền không hết và số cổ phiếu lẻ phát sinh (do làm tròn xuống đến hàng đơn vị số cổ phiếu mỗi cổ đông được quyền đăng ký mua), Đại hội đồng cổ đông sẽ ủy quyền cho Hội đồng quản trị Công ty cộng dồn và bán phân phối cho các đối tượng khác theo cách thức và điều kiện phù hợp với giá bán không thấp hơn giá bán cho cổ đông hiện hữu </w:t>
      </w:r>
      <w:r w:rsidRPr="003905D4">
        <w:rPr>
          <w:i/>
          <w:iCs/>
        </w:rPr>
        <w:t>(10.000 đồng/cổ phiếu).</w:t>
      </w:r>
    </w:p>
    <w:p w:rsidR="00463250" w:rsidRPr="003905D4" w:rsidRDefault="00463250" w:rsidP="00E53ABE">
      <w:pPr>
        <w:keepNext/>
        <w:tabs>
          <w:tab w:val="left" w:pos="450"/>
          <w:tab w:val="left" w:pos="810"/>
          <w:tab w:val="left" w:pos="3330"/>
          <w:tab w:val="left" w:pos="3780"/>
        </w:tabs>
        <w:spacing w:after="0" w:line="240" w:lineRule="auto"/>
        <w:ind w:left="450" w:hanging="450"/>
      </w:pPr>
    </w:p>
    <w:p w:rsidR="00463250" w:rsidRPr="003905D4" w:rsidRDefault="00463250" w:rsidP="00E53ABE">
      <w:pPr>
        <w:keepNext/>
        <w:tabs>
          <w:tab w:val="left" w:pos="450"/>
        </w:tabs>
        <w:spacing w:after="0" w:line="240" w:lineRule="auto"/>
        <w:rPr>
          <w:b/>
          <w:bCs/>
          <w:i/>
          <w:iCs/>
        </w:rPr>
      </w:pPr>
      <w:r w:rsidRPr="003905D4">
        <w:rPr>
          <w:b/>
          <w:bCs/>
          <w:i/>
          <w:iCs/>
        </w:rPr>
        <w:t xml:space="preserve">3. </w:t>
      </w:r>
      <w:r w:rsidRPr="003905D4">
        <w:rPr>
          <w:b/>
          <w:bCs/>
          <w:i/>
          <w:iCs/>
        </w:rPr>
        <w:tab/>
        <w:t>Phương án sử dụng số tiền thu được từ đợt phát hành</w:t>
      </w:r>
    </w:p>
    <w:p w:rsidR="00463250" w:rsidRPr="003905D4" w:rsidRDefault="00463250" w:rsidP="003905D4">
      <w:pPr>
        <w:keepNext/>
        <w:tabs>
          <w:tab w:val="left" w:pos="450"/>
        </w:tabs>
        <w:spacing w:after="0" w:line="240" w:lineRule="auto"/>
        <w:ind w:left="450" w:hanging="450"/>
      </w:pPr>
      <w:r w:rsidRPr="003905D4">
        <w:rPr>
          <w:b/>
          <w:bCs/>
        </w:rPr>
        <w:tab/>
      </w:r>
      <w:r w:rsidRPr="003905D4">
        <w:t>Tổng số tiền thu được từ đợt phát hành sẽ được sử dụng để bổ sung vốn lưu động, tái cơ cấu nguồn vốn.</w:t>
      </w:r>
    </w:p>
    <w:p w:rsidR="00463250" w:rsidRPr="003905D4" w:rsidRDefault="00463250" w:rsidP="00E53ABE">
      <w:pPr>
        <w:keepNext/>
        <w:tabs>
          <w:tab w:val="left" w:pos="450"/>
        </w:tabs>
        <w:spacing w:after="0" w:line="240" w:lineRule="auto"/>
        <w:rPr>
          <w:b/>
          <w:bCs/>
          <w:i/>
          <w:iCs/>
        </w:rPr>
      </w:pPr>
      <w:r w:rsidRPr="003905D4">
        <w:rPr>
          <w:b/>
          <w:bCs/>
          <w:i/>
          <w:iCs/>
        </w:rPr>
        <w:t>4.</w:t>
      </w:r>
      <w:r w:rsidRPr="003905D4">
        <w:rPr>
          <w:b/>
          <w:bCs/>
          <w:i/>
          <w:iCs/>
        </w:rPr>
        <w:tab/>
        <w:t>Ủy quyền và triển khai thực hiện</w:t>
      </w:r>
      <w:r w:rsidRPr="003905D4">
        <w:rPr>
          <w:b/>
          <w:bCs/>
          <w:i/>
          <w:iCs/>
        </w:rPr>
        <w:tab/>
      </w:r>
    </w:p>
    <w:p w:rsidR="00463250" w:rsidRPr="003905D4" w:rsidRDefault="00463250" w:rsidP="003905D4">
      <w:pPr>
        <w:keepNext/>
        <w:tabs>
          <w:tab w:val="left" w:pos="450"/>
        </w:tabs>
        <w:spacing w:after="0" w:line="240" w:lineRule="auto"/>
        <w:ind w:left="450" w:hanging="450"/>
      </w:pPr>
      <w:r w:rsidRPr="003905D4">
        <w:tab/>
        <w:t>Đại hội đồng cổ đông Công ty Cổ phần Than Hà Lầm – Vinacomin ủy quyền cho Hội đồng quản trị Công ty:</w:t>
      </w:r>
    </w:p>
    <w:p w:rsidR="00463250" w:rsidRPr="003905D4" w:rsidRDefault="00463250" w:rsidP="003905D4">
      <w:pPr>
        <w:keepNext/>
        <w:numPr>
          <w:ilvl w:val="0"/>
          <w:numId w:val="6"/>
        </w:numPr>
        <w:tabs>
          <w:tab w:val="left" w:pos="450"/>
        </w:tabs>
        <w:spacing w:after="0" w:line="240" w:lineRule="auto"/>
        <w:ind w:left="450"/>
      </w:pPr>
      <w:r w:rsidRPr="003905D4">
        <w:t>Lựa chọn thời điểm phát hành phù hợp trên cơ sở phân tích, đánh giá diễn biến thực tế của thị trường chứng khoán, thị trường tài chính và tình hình kinh tế vĩ mô.</w:t>
      </w:r>
    </w:p>
    <w:p w:rsidR="00463250" w:rsidRPr="003905D4" w:rsidRDefault="00463250" w:rsidP="003905D4">
      <w:pPr>
        <w:keepNext/>
        <w:tabs>
          <w:tab w:val="left" w:pos="450"/>
        </w:tabs>
        <w:spacing w:after="0" w:line="240" w:lineRule="auto"/>
        <w:ind w:left="90"/>
      </w:pPr>
      <w:r w:rsidRPr="003905D4">
        <w:t>-   Thực hiện các công việc cần thiết để hoàn tất việc phát hành cổ phiếu theo đúng quy định của pháp luật hiện hành và Điều lệ Công ty.</w:t>
      </w:r>
    </w:p>
    <w:p w:rsidR="00463250" w:rsidRPr="003905D4" w:rsidRDefault="00463250" w:rsidP="003905D4">
      <w:pPr>
        <w:keepNext/>
        <w:numPr>
          <w:ilvl w:val="0"/>
          <w:numId w:val="6"/>
        </w:numPr>
        <w:tabs>
          <w:tab w:val="left" w:pos="450"/>
        </w:tabs>
        <w:spacing w:after="0" w:line="240" w:lineRule="auto"/>
        <w:ind w:left="450"/>
      </w:pPr>
      <w:r w:rsidRPr="003905D4">
        <w:t>Thực hiện các công việc cần thiết để hoàn tất thủ tục sau phát hành như thay đổi Giấy Chứng nhận đăng ký doanh nghiệp, sửa đổi Điều lệ Công ty theo vốn điều lệ mới</w:t>
      </w:r>
    </w:p>
    <w:p w:rsidR="00463250" w:rsidRPr="003905D4" w:rsidRDefault="00463250" w:rsidP="003905D4">
      <w:pPr>
        <w:keepNext/>
        <w:tabs>
          <w:tab w:val="left" w:pos="450"/>
        </w:tabs>
        <w:spacing w:after="0" w:line="240" w:lineRule="auto"/>
        <w:ind w:left="90"/>
      </w:pPr>
    </w:p>
    <w:p w:rsidR="00463250" w:rsidRPr="003905D4" w:rsidRDefault="00463250" w:rsidP="00E53ABE">
      <w:pPr>
        <w:keepNext/>
        <w:tabs>
          <w:tab w:val="left" w:pos="450"/>
        </w:tabs>
        <w:spacing w:after="0" w:line="240" w:lineRule="auto"/>
      </w:pPr>
      <w:r w:rsidRPr="003905D4">
        <w:rPr>
          <w:b/>
          <w:bCs/>
        </w:rPr>
        <w:tab/>
      </w:r>
      <w:r w:rsidRPr="003905D4">
        <w:rPr>
          <w:b/>
          <w:bCs/>
        </w:rPr>
        <w:tab/>
        <w:t>Điều 2.</w:t>
      </w:r>
      <w:r w:rsidRPr="003905D4">
        <w:t xml:space="preserve"> Thông qua việc niêm yết bổ sung số cổ phiếu phát hành thành công của đợt phát hành.</w:t>
      </w:r>
    </w:p>
    <w:p w:rsidR="00463250" w:rsidRPr="003905D4" w:rsidRDefault="00463250" w:rsidP="00E53ABE">
      <w:pPr>
        <w:keepNext/>
        <w:tabs>
          <w:tab w:val="left" w:pos="450"/>
        </w:tabs>
        <w:spacing w:after="0" w:line="240" w:lineRule="auto"/>
      </w:pPr>
      <w:r w:rsidRPr="003905D4">
        <w:tab/>
        <w:t>Toàn bộ số cổ phiếu phát hành thành công của đợt phát hành sẽ được niêm yết bổ sung tại Sở Giao dịch Chứng khoán Hà Nội theo quy định của pháp luật.</w:t>
      </w:r>
    </w:p>
    <w:p w:rsidR="00463250" w:rsidRPr="003905D4" w:rsidRDefault="00463250" w:rsidP="00E53ABE">
      <w:pPr>
        <w:keepNext/>
        <w:tabs>
          <w:tab w:val="left" w:pos="450"/>
        </w:tabs>
        <w:spacing w:after="0" w:line="240" w:lineRule="auto"/>
      </w:pPr>
      <w:r w:rsidRPr="003905D4">
        <w:tab/>
        <w:t>Đại hội đồng cổ đông Công ty Cổ phần Than Hà Lầm - Vinacomin ủy quyền cho Hội đồng quản trị Công ty thực hiện các công việc cần thiết để niêm yết bổ sung cổ phiếu phát hành thêm tại Sở Giao dịch Chứng khoán Hà Nội.</w:t>
      </w:r>
    </w:p>
    <w:p w:rsidR="00463250" w:rsidRPr="003905D4" w:rsidRDefault="00463250" w:rsidP="00E53ABE">
      <w:pPr>
        <w:keepNext/>
        <w:tabs>
          <w:tab w:val="left" w:pos="450"/>
        </w:tabs>
        <w:spacing w:after="0" w:line="240" w:lineRule="auto"/>
      </w:pPr>
    </w:p>
    <w:p w:rsidR="00463250" w:rsidRPr="003905D4" w:rsidRDefault="00463250" w:rsidP="00E53ABE">
      <w:pPr>
        <w:keepNext/>
        <w:tabs>
          <w:tab w:val="left" w:pos="450"/>
        </w:tabs>
        <w:spacing w:after="0" w:line="240" w:lineRule="auto"/>
      </w:pPr>
      <w:r w:rsidRPr="003905D4">
        <w:rPr>
          <w:b/>
          <w:bCs/>
        </w:rPr>
        <w:tab/>
      </w:r>
      <w:r w:rsidRPr="003905D4">
        <w:rPr>
          <w:b/>
          <w:bCs/>
        </w:rPr>
        <w:tab/>
        <w:t xml:space="preserve">Điều 3. </w:t>
      </w:r>
      <w:r w:rsidRPr="003905D4">
        <w:t>Thông qua việc</w:t>
      </w:r>
      <w:r>
        <w:t xml:space="preserve"> ch</w:t>
      </w:r>
      <w:r w:rsidRPr="00E82135">
        <w:t>ủ</w:t>
      </w:r>
      <w:r>
        <w:t xml:space="preserve"> tr</w:t>
      </w:r>
      <w:r w:rsidRPr="00E82135">
        <w:t>ươ</w:t>
      </w:r>
      <w:r>
        <w:t>ng</w:t>
      </w:r>
      <w:r w:rsidRPr="003905D4">
        <w:t xml:space="preserve"> điều chỉnh Dự án đầu tư khai thác phần dưới mức -50 Mỏ than Hà Lầm – Công ty Than Hà Lầm với các nội dung sau:</w:t>
      </w:r>
    </w:p>
    <w:p w:rsidR="00463250" w:rsidRPr="003905D4" w:rsidRDefault="00463250" w:rsidP="00E53ABE">
      <w:pPr>
        <w:keepNext/>
        <w:numPr>
          <w:ilvl w:val="0"/>
          <w:numId w:val="6"/>
        </w:numPr>
        <w:tabs>
          <w:tab w:val="left" w:pos="450"/>
        </w:tabs>
        <w:spacing w:after="0" w:line="240" w:lineRule="auto"/>
        <w:ind w:left="0" w:firstLine="450"/>
      </w:pPr>
      <w:r w:rsidRPr="003905D4">
        <w:t>Chuẩn xác lại trữ lượng tài nguyên huy động cho dự án trên cơ sở báo cáo chuyển đổi trữ lượng và cấp tài nguyên khu mỏ than Hà Lầm, phường Hà Lầm, phường Hà Trung và phường Hà Tu, thành phố Hạ Long theo quyết định số 89/QĐ-HĐTLKS/CĐ ngày 19/01/2010 của Hội đồng đánh giá trữ lượng khoáng sản nhà nước có xem xét đến báo cáo tổng hợp tài liệu địa chất mỏ than Hà Lầm do Công ty IT&amp;E lập năm 2004 và kết quả các công trình khoan thăm dò bổ sung tới thời điểm tháng 9 năm 2012;</w:t>
      </w:r>
    </w:p>
    <w:p w:rsidR="00463250" w:rsidRPr="003905D4" w:rsidRDefault="00463250" w:rsidP="00E53ABE">
      <w:pPr>
        <w:keepNext/>
        <w:numPr>
          <w:ilvl w:val="0"/>
          <w:numId w:val="6"/>
        </w:numPr>
        <w:tabs>
          <w:tab w:val="left" w:pos="450"/>
        </w:tabs>
        <w:spacing w:after="0" w:line="240" w:lineRule="auto"/>
        <w:ind w:left="0" w:firstLine="450"/>
      </w:pPr>
      <w:r w:rsidRPr="003905D4">
        <w:t>Xác định công suất các lò chợ và tuổi thọ mỏ, xác định các nội dung thay đổi so với dự án đầu tư đã được duyệt;</w:t>
      </w:r>
    </w:p>
    <w:p w:rsidR="00463250" w:rsidRPr="003905D4" w:rsidRDefault="00463250" w:rsidP="00E53ABE">
      <w:pPr>
        <w:keepNext/>
        <w:numPr>
          <w:ilvl w:val="0"/>
          <w:numId w:val="6"/>
        </w:numPr>
        <w:tabs>
          <w:tab w:val="left" w:pos="450"/>
        </w:tabs>
        <w:spacing w:after="0" w:line="240" w:lineRule="auto"/>
        <w:ind w:left="0" w:firstLine="450"/>
      </w:pPr>
      <w:r w:rsidRPr="003905D4">
        <w:t>Tính toán, chuẩn xác lại thời gian xây dựng cơ bản, lịch ra than cho các lò chợ thuộc dự án;</w:t>
      </w:r>
    </w:p>
    <w:p w:rsidR="00463250" w:rsidRPr="003905D4" w:rsidRDefault="00463250" w:rsidP="00E53ABE">
      <w:pPr>
        <w:keepNext/>
        <w:numPr>
          <w:ilvl w:val="0"/>
          <w:numId w:val="6"/>
        </w:numPr>
        <w:tabs>
          <w:tab w:val="left" w:pos="450"/>
        </w:tabs>
        <w:spacing w:after="0" w:line="240" w:lineRule="auto"/>
        <w:ind w:left="0" w:firstLine="450"/>
      </w:pPr>
      <w:r w:rsidRPr="003905D4">
        <w:t>Xác định lại giá trị Tổng mức đầu tư dự án và phân tích, đánh giá, tính toán hiệu quả kinh tế xây dựng công trình;</w:t>
      </w:r>
    </w:p>
    <w:p w:rsidR="00463250" w:rsidRPr="003905D4" w:rsidRDefault="00463250" w:rsidP="00E53ABE">
      <w:pPr>
        <w:keepNext/>
        <w:numPr>
          <w:ilvl w:val="0"/>
          <w:numId w:val="6"/>
        </w:numPr>
        <w:tabs>
          <w:tab w:val="left" w:pos="450"/>
        </w:tabs>
        <w:spacing w:after="0" w:line="240" w:lineRule="auto"/>
        <w:ind w:left="0" w:firstLine="450"/>
      </w:pPr>
      <w:r w:rsidRPr="003905D4">
        <w:t>Phương thức thực hiện: Chỉ định thầu cho Công ty Cổ phần Tư vấn đầu tư mỏ và công nghiệp – Vinacomin.</w:t>
      </w:r>
    </w:p>
    <w:p w:rsidR="00463250" w:rsidRPr="003905D4" w:rsidRDefault="00463250" w:rsidP="007A7E24">
      <w:pPr>
        <w:keepNext/>
        <w:tabs>
          <w:tab w:val="left" w:pos="810"/>
        </w:tabs>
        <w:spacing w:after="0" w:line="240" w:lineRule="auto"/>
        <w:ind w:firstLine="450"/>
      </w:pPr>
      <w:r w:rsidRPr="003905D4">
        <w:t>- Đại hội ủy quyền cho Hội đồng quản trị Công ty thực hiện các công việc cần thiết điều chỉnh dự án.</w:t>
      </w:r>
    </w:p>
    <w:p w:rsidR="00463250" w:rsidRPr="003905D4" w:rsidRDefault="00463250" w:rsidP="007A7E24">
      <w:pPr>
        <w:keepNext/>
        <w:tabs>
          <w:tab w:val="left" w:pos="810"/>
        </w:tabs>
        <w:spacing w:after="0" w:line="240" w:lineRule="auto"/>
        <w:ind w:firstLine="450"/>
      </w:pPr>
    </w:p>
    <w:p w:rsidR="00463250" w:rsidRPr="003905D4" w:rsidRDefault="00463250" w:rsidP="00E53ABE">
      <w:pPr>
        <w:keepNext/>
        <w:tabs>
          <w:tab w:val="left" w:pos="810"/>
        </w:tabs>
        <w:spacing w:after="0" w:line="240" w:lineRule="auto"/>
      </w:pPr>
      <w:r w:rsidRPr="003905D4">
        <w:rPr>
          <w:b/>
          <w:bCs/>
        </w:rPr>
        <w:tab/>
        <w:t xml:space="preserve">Điều 4. </w:t>
      </w:r>
      <w:r w:rsidRPr="003905D4">
        <w:t>Thông qua:</w:t>
      </w:r>
    </w:p>
    <w:p w:rsidR="00463250" w:rsidRDefault="00463250" w:rsidP="003905D4">
      <w:pPr>
        <w:keepNext/>
        <w:tabs>
          <w:tab w:val="left" w:pos="810"/>
        </w:tabs>
        <w:spacing w:after="0" w:line="240" w:lineRule="auto"/>
      </w:pPr>
      <w:r w:rsidRPr="003905D4">
        <w:tab/>
        <w:t>- Việc miễn nhiệm thành viên Hội đồng quản trị đối với ông Cao Bá Ái.</w:t>
      </w:r>
    </w:p>
    <w:p w:rsidR="00463250" w:rsidRPr="00944DA1" w:rsidRDefault="00463250" w:rsidP="003905D4">
      <w:pPr>
        <w:keepNext/>
        <w:tabs>
          <w:tab w:val="left" w:pos="810"/>
        </w:tabs>
        <w:spacing w:after="0" w:line="240" w:lineRule="auto"/>
      </w:pPr>
      <w:r>
        <w:tab/>
        <w:t>- Kh</w:t>
      </w:r>
      <w:r w:rsidRPr="00944DA1">
        <w:t>ô</w:t>
      </w:r>
      <w:r>
        <w:t>ng b</w:t>
      </w:r>
      <w:r w:rsidRPr="00944DA1">
        <w:t>ầu</w:t>
      </w:r>
      <w:r>
        <w:t xml:space="preserve"> b</w:t>
      </w:r>
      <w:r w:rsidRPr="00944DA1">
        <w:t>ổ</w:t>
      </w:r>
      <w:r>
        <w:t xml:space="preserve"> sung th</w:t>
      </w:r>
      <w:r w:rsidRPr="00944DA1">
        <w:t>ành</w:t>
      </w:r>
      <w:r>
        <w:t xml:space="preserve"> vi</w:t>
      </w:r>
      <w:r w:rsidRPr="00944DA1">
        <w:t>ê</w:t>
      </w:r>
      <w:r>
        <w:t>n H</w:t>
      </w:r>
      <w:r w:rsidRPr="00944DA1">
        <w:t>Đ</w:t>
      </w:r>
      <w:r>
        <w:t>QT thay th</w:t>
      </w:r>
      <w:r w:rsidRPr="00944DA1">
        <w:t>ế</w:t>
      </w:r>
      <w:r>
        <w:t xml:space="preserve"> </w:t>
      </w:r>
      <w:r w:rsidRPr="00944DA1">
        <w:t>ô</w:t>
      </w:r>
      <w:r>
        <w:t>ng Cao B</w:t>
      </w:r>
      <w:r w:rsidRPr="00944DA1">
        <w:t>á</w:t>
      </w:r>
      <w:r>
        <w:t xml:space="preserve"> </w:t>
      </w:r>
      <w:r w:rsidRPr="00944DA1">
        <w:t>Ái</w:t>
      </w:r>
      <w:r>
        <w:t>.</w:t>
      </w:r>
    </w:p>
    <w:p w:rsidR="00463250" w:rsidRPr="003905D4" w:rsidRDefault="00463250" w:rsidP="00E53ABE">
      <w:pPr>
        <w:keepNext/>
        <w:tabs>
          <w:tab w:val="left" w:pos="810"/>
        </w:tabs>
        <w:spacing w:after="0" w:line="240" w:lineRule="auto"/>
      </w:pPr>
    </w:p>
    <w:p w:rsidR="00463250" w:rsidRPr="003905D4" w:rsidRDefault="00463250" w:rsidP="00E53ABE">
      <w:pPr>
        <w:keepNext/>
        <w:tabs>
          <w:tab w:val="left" w:pos="810"/>
        </w:tabs>
        <w:spacing w:after="0" w:line="240" w:lineRule="auto"/>
      </w:pPr>
      <w:r w:rsidRPr="003905D4">
        <w:rPr>
          <w:b/>
          <w:bCs/>
        </w:rPr>
        <w:tab/>
        <w:t>Điều 5.</w:t>
      </w:r>
      <w:r w:rsidRPr="003905D4">
        <w:t xml:space="preserve"> Đại hội đồng cổ đông ủy quyền cho Hội đồng quản trị và Ban Kiểm soát Công ty Cổ phần Than Hà Lầm – Vinacomin tổ chức triển khai và giám sát quá trình thực hiện Nghị quyết của Đại hội.</w:t>
      </w:r>
    </w:p>
    <w:p w:rsidR="00463250" w:rsidRPr="003905D4" w:rsidRDefault="00463250" w:rsidP="00E53ABE">
      <w:pPr>
        <w:keepNext/>
        <w:tabs>
          <w:tab w:val="left" w:pos="810"/>
        </w:tabs>
        <w:spacing w:after="0" w:line="240" w:lineRule="auto"/>
      </w:pPr>
    </w:p>
    <w:p w:rsidR="00463250" w:rsidRPr="003905D4" w:rsidRDefault="00463250" w:rsidP="00E53ABE">
      <w:pPr>
        <w:keepNext/>
        <w:tabs>
          <w:tab w:val="left" w:pos="450"/>
        </w:tabs>
        <w:spacing w:after="0" w:line="240" w:lineRule="auto"/>
      </w:pPr>
      <w:r w:rsidRPr="003905D4">
        <w:tab/>
        <w:t>Đại hội đồng cổ đông đã biểu quyết 100% tán thành thông qua toàn văn Nghị quyết của Đại hội đồng cổ đông bất thường năm 2012 của Công ty cổ phần Than Hà Lầm – Vinacomin.</w:t>
      </w:r>
    </w:p>
    <w:p w:rsidR="00463250" w:rsidRPr="003905D4" w:rsidRDefault="00463250" w:rsidP="00E53ABE">
      <w:pPr>
        <w:keepNext/>
        <w:tabs>
          <w:tab w:val="left" w:pos="450"/>
        </w:tabs>
        <w:spacing w:after="0" w:line="240" w:lineRule="auto"/>
      </w:pPr>
    </w:p>
    <w:tbl>
      <w:tblPr>
        <w:tblW w:w="9360" w:type="dxa"/>
        <w:tblInd w:w="362" w:type="dxa"/>
        <w:tblLook w:val="00A0"/>
      </w:tblPr>
      <w:tblGrid>
        <w:gridCol w:w="5040"/>
        <w:gridCol w:w="4320"/>
      </w:tblGrid>
      <w:tr w:rsidR="00463250" w:rsidRPr="00C3603E">
        <w:trPr>
          <w:trHeight w:val="1800"/>
        </w:trPr>
        <w:tc>
          <w:tcPr>
            <w:tcW w:w="5040" w:type="dxa"/>
          </w:tcPr>
          <w:p w:rsidR="00463250" w:rsidRPr="00C3603E" w:rsidRDefault="00463250" w:rsidP="000C60D0">
            <w:pPr>
              <w:keepNext/>
              <w:spacing w:after="0" w:line="264" w:lineRule="auto"/>
              <w:rPr>
                <w:sz w:val="26"/>
                <w:szCs w:val="26"/>
              </w:rPr>
            </w:pPr>
            <w:r w:rsidRPr="00FD36ED">
              <w:rPr>
                <w:sz w:val="26"/>
                <w:szCs w:val="26"/>
              </w:rPr>
              <w:tab/>
            </w:r>
          </w:p>
        </w:tc>
        <w:tc>
          <w:tcPr>
            <w:tcW w:w="4320" w:type="dxa"/>
          </w:tcPr>
          <w:p w:rsidR="00463250" w:rsidRPr="00E15295" w:rsidRDefault="00463250" w:rsidP="000C60D0">
            <w:pPr>
              <w:keepNext/>
              <w:spacing w:after="0" w:line="264" w:lineRule="auto"/>
              <w:jc w:val="center"/>
              <w:rPr>
                <w:b/>
                <w:bCs/>
                <w:sz w:val="24"/>
                <w:szCs w:val="24"/>
              </w:rPr>
            </w:pPr>
            <w:r w:rsidRPr="00E15295">
              <w:rPr>
                <w:b/>
                <w:bCs/>
                <w:sz w:val="24"/>
                <w:szCs w:val="24"/>
              </w:rPr>
              <w:t>TM. ĐẠI HỘI ĐỒNG CỔ ĐÔNG</w:t>
            </w:r>
          </w:p>
          <w:p w:rsidR="00463250" w:rsidRDefault="00463250" w:rsidP="001140F1">
            <w:pPr>
              <w:keepNext/>
              <w:spacing w:after="0" w:line="264" w:lineRule="auto"/>
              <w:jc w:val="center"/>
              <w:rPr>
                <w:b/>
                <w:bCs/>
                <w:sz w:val="26"/>
                <w:szCs w:val="26"/>
              </w:rPr>
            </w:pPr>
            <w:r>
              <w:rPr>
                <w:rFonts w:ascii=".VnTimeH" w:hAnsi=".VnTimeH" w:cs=".VnTimeH"/>
                <w:b/>
                <w:bCs/>
                <w:sz w:val="24"/>
                <w:szCs w:val="24"/>
              </w:rPr>
              <w:t>Chñ tÞch H§QT</w:t>
            </w:r>
          </w:p>
          <w:p w:rsidR="00463250" w:rsidRDefault="00463250" w:rsidP="000C60D0">
            <w:pPr>
              <w:keepNext/>
              <w:spacing w:after="0" w:line="264" w:lineRule="auto"/>
              <w:rPr>
                <w:b/>
                <w:bCs/>
                <w:sz w:val="26"/>
                <w:szCs w:val="26"/>
              </w:rPr>
            </w:pPr>
          </w:p>
          <w:p w:rsidR="00463250" w:rsidRDefault="00463250" w:rsidP="000C60D0">
            <w:pPr>
              <w:keepNext/>
              <w:spacing w:after="0" w:line="264" w:lineRule="auto"/>
              <w:rPr>
                <w:b/>
                <w:bCs/>
                <w:sz w:val="26"/>
                <w:szCs w:val="26"/>
              </w:rPr>
            </w:pPr>
          </w:p>
          <w:p w:rsidR="00463250" w:rsidRDefault="00463250" w:rsidP="000C60D0">
            <w:pPr>
              <w:keepNext/>
              <w:spacing w:after="0" w:line="264" w:lineRule="auto"/>
              <w:rPr>
                <w:b/>
                <w:bCs/>
                <w:sz w:val="26"/>
                <w:szCs w:val="26"/>
              </w:rPr>
            </w:pPr>
          </w:p>
          <w:p w:rsidR="00463250" w:rsidRDefault="00463250" w:rsidP="000C60D0">
            <w:pPr>
              <w:keepNext/>
              <w:spacing w:after="0" w:line="264" w:lineRule="auto"/>
              <w:rPr>
                <w:b/>
                <w:bCs/>
                <w:sz w:val="26"/>
                <w:szCs w:val="26"/>
              </w:rPr>
            </w:pPr>
          </w:p>
          <w:p w:rsidR="00463250" w:rsidRDefault="00463250" w:rsidP="000C60D0">
            <w:pPr>
              <w:keepNext/>
              <w:spacing w:after="0" w:line="264" w:lineRule="auto"/>
              <w:rPr>
                <w:b/>
                <w:bCs/>
                <w:sz w:val="26"/>
                <w:szCs w:val="26"/>
              </w:rPr>
            </w:pPr>
          </w:p>
          <w:p w:rsidR="00463250" w:rsidRPr="00C3603E" w:rsidRDefault="00463250" w:rsidP="00080658">
            <w:pPr>
              <w:keepNext/>
              <w:spacing w:after="0" w:line="264" w:lineRule="auto"/>
              <w:jc w:val="center"/>
              <w:rPr>
                <w:b/>
                <w:bCs/>
                <w:sz w:val="26"/>
                <w:szCs w:val="26"/>
              </w:rPr>
            </w:pPr>
            <w:r>
              <w:rPr>
                <w:b/>
                <w:bCs/>
                <w:sz w:val="26"/>
                <w:szCs w:val="26"/>
              </w:rPr>
              <w:t>Ngô Thế Phiệt</w:t>
            </w:r>
          </w:p>
        </w:tc>
      </w:tr>
    </w:tbl>
    <w:p w:rsidR="00463250" w:rsidRPr="00C3603E" w:rsidRDefault="00463250" w:rsidP="000C60D0">
      <w:pPr>
        <w:keepNext/>
        <w:spacing w:before="120" w:after="240" w:line="312" w:lineRule="auto"/>
        <w:rPr>
          <w:sz w:val="26"/>
          <w:szCs w:val="26"/>
        </w:rPr>
      </w:pPr>
    </w:p>
    <w:sectPr w:rsidR="00463250" w:rsidRPr="00C3603E" w:rsidSect="003905D4">
      <w:footerReference w:type="default" r:id="rId7"/>
      <w:pgSz w:w="11907" w:h="16839" w:code="9"/>
      <w:pgMar w:top="794" w:right="737" w:bottom="624" w:left="1701" w:header="720" w:footer="195"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250" w:rsidRDefault="00463250" w:rsidP="00AE2846">
      <w:pPr>
        <w:spacing w:after="0" w:line="240" w:lineRule="auto"/>
      </w:pPr>
      <w:r>
        <w:separator/>
      </w:r>
    </w:p>
  </w:endnote>
  <w:endnote w:type="continuationSeparator" w:id="1">
    <w:p w:rsidR="00463250" w:rsidRDefault="00463250" w:rsidP="00AE2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250" w:rsidRDefault="00463250" w:rsidP="003905D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63250" w:rsidRPr="002322AC" w:rsidRDefault="00463250" w:rsidP="003905D4">
    <w:pPr>
      <w:pStyle w:val="Footer"/>
      <w:ind w:right="360"/>
      <w:jc w:val="right"/>
      <w:rPr>
        <w:sz w:val="26"/>
        <w:szCs w:val="2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250" w:rsidRDefault="00463250" w:rsidP="00AE2846">
      <w:pPr>
        <w:spacing w:after="0" w:line="240" w:lineRule="auto"/>
      </w:pPr>
      <w:r>
        <w:separator/>
      </w:r>
    </w:p>
  </w:footnote>
  <w:footnote w:type="continuationSeparator" w:id="1">
    <w:p w:rsidR="00463250" w:rsidRDefault="00463250" w:rsidP="00AE28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B43F5"/>
    <w:multiLevelType w:val="hybridMultilevel"/>
    <w:tmpl w:val="8062BDD0"/>
    <w:lvl w:ilvl="0" w:tplc="04090001">
      <w:start w:val="1"/>
      <w:numFmt w:val="bullet"/>
      <w:lvlText w:val=""/>
      <w:lvlJc w:val="left"/>
      <w:pPr>
        <w:ind w:left="795" w:hanging="360"/>
      </w:pPr>
      <w:rPr>
        <w:rFonts w:ascii="Symbol" w:hAnsi="Symbol" w:cs="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cs="Wingdings" w:hint="default"/>
      </w:rPr>
    </w:lvl>
    <w:lvl w:ilvl="3" w:tplc="04090001">
      <w:start w:val="1"/>
      <w:numFmt w:val="bullet"/>
      <w:lvlText w:val=""/>
      <w:lvlJc w:val="left"/>
      <w:pPr>
        <w:ind w:left="2955" w:hanging="360"/>
      </w:pPr>
      <w:rPr>
        <w:rFonts w:ascii="Symbol" w:hAnsi="Symbol" w:cs="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cs="Wingdings" w:hint="default"/>
      </w:rPr>
    </w:lvl>
    <w:lvl w:ilvl="6" w:tplc="04090001">
      <w:start w:val="1"/>
      <w:numFmt w:val="bullet"/>
      <w:lvlText w:val=""/>
      <w:lvlJc w:val="left"/>
      <w:pPr>
        <w:ind w:left="5115" w:hanging="360"/>
      </w:pPr>
      <w:rPr>
        <w:rFonts w:ascii="Symbol" w:hAnsi="Symbol" w:cs="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cs="Wingdings" w:hint="default"/>
      </w:rPr>
    </w:lvl>
  </w:abstractNum>
  <w:abstractNum w:abstractNumId="1">
    <w:nsid w:val="431E206B"/>
    <w:multiLevelType w:val="hybridMultilevel"/>
    <w:tmpl w:val="CF8CAD32"/>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4A956C7D"/>
    <w:multiLevelType w:val="hybridMultilevel"/>
    <w:tmpl w:val="07F6A996"/>
    <w:lvl w:ilvl="0" w:tplc="4282C3EE">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4CEF2E94"/>
    <w:multiLevelType w:val="hybridMultilevel"/>
    <w:tmpl w:val="83BA1BEC"/>
    <w:lvl w:ilvl="0" w:tplc="04822AC0">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nsid w:val="5D9B3C4B"/>
    <w:multiLevelType w:val="hybridMultilevel"/>
    <w:tmpl w:val="87BEEB3A"/>
    <w:lvl w:ilvl="0" w:tplc="5BA8A5CA">
      <w:start w:val="1"/>
      <w:numFmt w:val="bullet"/>
      <w:lvlText w:val="-"/>
      <w:lvlJc w:val="left"/>
      <w:pPr>
        <w:tabs>
          <w:tab w:val="num" w:pos="897"/>
        </w:tabs>
        <w:ind w:left="897" w:hanging="357"/>
      </w:pPr>
      <w:rPr>
        <w:rFonts w:ascii="Times New Roman" w:hAnsi="Times New Roman" w:cs="Times New Roman"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5">
    <w:nsid w:val="76C819DD"/>
    <w:multiLevelType w:val="hybridMultilevel"/>
    <w:tmpl w:val="9804634E"/>
    <w:lvl w:ilvl="0" w:tplc="E05CEE0A">
      <w:start w:val="5"/>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7FAA73D4"/>
    <w:multiLevelType w:val="hybridMultilevel"/>
    <w:tmpl w:val="F2BCDA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6"/>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4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1DC6"/>
    <w:rsid w:val="00005F6B"/>
    <w:rsid w:val="000245B7"/>
    <w:rsid w:val="00052D65"/>
    <w:rsid w:val="00080658"/>
    <w:rsid w:val="0009181E"/>
    <w:rsid w:val="00097652"/>
    <w:rsid w:val="000A0447"/>
    <w:rsid w:val="000A7E5B"/>
    <w:rsid w:val="000C60D0"/>
    <w:rsid w:val="000E0E9B"/>
    <w:rsid w:val="000E762B"/>
    <w:rsid w:val="0010609E"/>
    <w:rsid w:val="001140F1"/>
    <w:rsid w:val="001305F5"/>
    <w:rsid w:val="00141933"/>
    <w:rsid w:val="00151DF2"/>
    <w:rsid w:val="00167574"/>
    <w:rsid w:val="001961D6"/>
    <w:rsid w:val="001C1935"/>
    <w:rsid w:val="001C30E5"/>
    <w:rsid w:val="001D0107"/>
    <w:rsid w:val="001D0110"/>
    <w:rsid w:val="001D0AC3"/>
    <w:rsid w:val="001E1471"/>
    <w:rsid w:val="002145A0"/>
    <w:rsid w:val="002322AC"/>
    <w:rsid w:val="00234043"/>
    <w:rsid w:val="0024523F"/>
    <w:rsid w:val="00260000"/>
    <w:rsid w:val="00272723"/>
    <w:rsid w:val="002A51E9"/>
    <w:rsid w:val="002A5EE5"/>
    <w:rsid w:val="002B1FC4"/>
    <w:rsid w:val="002D2763"/>
    <w:rsid w:val="002E17B0"/>
    <w:rsid w:val="00315F6D"/>
    <w:rsid w:val="00317EB8"/>
    <w:rsid w:val="00321958"/>
    <w:rsid w:val="00346B6A"/>
    <w:rsid w:val="00347F4F"/>
    <w:rsid w:val="00350CBF"/>
    <w:rsid w:val="00365947"/>
    <w:rsid w:val="00387436"/>
    <w:rsid w:val="003905D4"/>
    <w:rsid w:val="003A26BC"/>
    <w:rsid w:val="003A3367"/>
    <w:rsid w:val="003A5394"/>
    <w:rsid w:val="003B07DF"/>
    <w:rsid w:val="003B23BA"/>
    <w:rsid w:val="003B44C9"/>
    <w:rsid w:val="003D625D"/>
    <w:rsid w:val="00461CC5"/>
    <w:rsid w:val="00463250"/>
    <w:rsid w:val="0046685C"/>
    <w:rsid w:val="00474919"/>
    <w:rsid w:val="004976A1"/>
    <w:rsid w:val="004C6A41"/>
    <w:rsid w:val="004E2DDB"/>
    <w:rsid w:val="004F3A1F"/>
    <w:rsid w:val="005400DC"/>
    <w:rsid w:val="005630D3"/>
    <w:rsid w:val="00575479"/>
    <w:rsid w:val="0058744D"/>
    <w:rsid w:val="005D2385"/>
    <w:rsid w:val="005D608B"/>
    <w:rsid w:val="005E4AC4"/>
    <w:rsid w:val="005F5470"/>
    <w:rsid w:val="0060038B"/>
    <w:rsid w:val="00603CED"/>
    <w:rsid w:val="00605AA7"/>
    <w:rsid w:val="006205B6"/>
    <w:rsid w:val="00640FC3"/>
    <w:rsid w:val="0064289F"/>
    <w:rsid w:val="006765A2"/>
    <w:rsid w:val="00683FD3"/>
    <w:rsid w:val="00684CC6"/>
    <w:rsid w:val="006C21CF"/>
    <w:rsid w:val="006C364A"/>
    <w:rsid w:val="006C5E35"/>
    <w:rsid w:val="006C64FC"/>
    <w:rsid w:val="006D06FE"/>
    <w:rsid w:val="006D0CAA"/>
    <w:rsid w:val="006D1282"/>
    <w:rsid w:val="006D7DBF"/>
    <w:rsid w:val="006E2160"/>
    <w:rsid w:val="006E504B"/>
    <w:rsid w:val="00711607"/>
    <w:rsid w:val="00714BC1"/>
    <w:rsid w:val="007156CA"/>
    <w:rsid w:val="0072146C"/>
    <w:rsid w:val="00732C5E"/>
    <w:rsid w:val="007359D6"/>
    <w:rsid w:val="007409F1"/>
    <w:rsid w:val="00752427"/>
    <w:rsid w:val="00786BE0"/>
    <w:rsid w:val="0079637A"/>
    <w:rsid w:val="007A7E24"/>
    <w:rsid w:val="007B40D5"/>
    <w:rsid w:val="007B5529"/>
    <w:rsid w:val="007C031B"/>
    <w:rsid w:val="007C1407"/>
    <w:rsid w:val="007C3F5E"/>
    <w:rsid w:val="007D334B"/>
    <w:rsid w:val="008104C9"/>
    <w:rsid w:val="00812433"/>
    <w:rsid w:val="00823F3B"/>
    <w:rsid w:val="00835489"/>
    <w:rsid w:val="00836819"/>
    <w:rsid w:val="00865C3B"/>
    <w:rsid w:val="008A71B9"/>
    <w:rsid w:val="008D424C"/>
    <w:rsid w:val="00922EAD"/>
    <w:rsid w:val="009333D8"/>
    <w:rsid w:val="00936160"/>
    <w:rsid w:val="00944DA1"/>
    <w:rsid w:val="00980CF3"/>
    <w:rsid w:val="009A3FF0"/>
    <w:rsid w:val="009B2F00"/>
    <w:rsid w:val="009C2B19"/>
    <w:rsid w:val="009D0124"/>
    <w:rsid w:val="009D450F"/>
    <w:rsid w:val="009F00B5"/>
    <w:rsid w:val="00A1152C"/>
    <w:rsid w:val="00A1264C"/>
    <w:rsid w:val="00A12A89"/>
    <w:rsid w:val="00A17072"/>
    <w:rsid w:val="00A32B68"/>
    <w:rsid w:val="00A4677A"/>
    <w:rsid w:val="00A46BCE"/>
    <w:rsid w:val="00A55C86"/>
    <w:rsid w:val="00A61DC6"/>
    <w:rsid w:val="00A83144"/>
    <w:rsid w:val="00AA12F4"/>
    <w:rsid w:val="00AC602A"/>
    <w:rsid w:val="00AC620D"/>
    <w:rsid w:val="00AE1F02"/>
    <w:rsid w:val="00AE2846"/>
    <w:rsid w:val="00AE6AAA"/>
    <w:rsid w:val="00AF0474"/>
    <w:rsid w:val="00B21470"/>
    <w:rsid w:val="00B23444"/>
    <w:rsid w:val="00B4514E"/>
    <w:rsid w:val="00B72D34"/>
    <w:rsid w:val="00B86768"/>
    <w:rsid w:val="00BA2CBC"/>
    <w:rsid w:val="00BA6142"/>
    <w:rsid w:val="00BB57E5"/>
    <w:rsid w:val="00BF7044"/>
    <w:rsid w:val="00C030C3"/>
    <w:rsid w:val="00C3603E"/>
    <w:rsid w:val="00C3639D"/>
    <w:rsid w:val="00C37AF2"/>
    <w:rsid w:val="00C455C2"/>
    <w:rsid w:val="00C5751E"/>
    <w:rsid w:val="00CA47C6"/>
    <w:rsid w:val="00CC0879"/>
    <w:rsid w:val="00CC3FBB"/>
    <w:rsid w:val="00CD164B"/>
    <w:rsid w:val="00CE7099"/>
    <w:rsid w:val="00D06920"/>
    <w:rsid w:val="00D06DB5"/>
    <w:rsid w:val="00D133D9"/>
    <w:rsid w:val="00D14754"/>
    <w:rsid w:val="00D460A2"/>
    <w:rsid w:val="00D54F71"/>
    <w:rsid w:val="00D6051F"/>
    <w:rsid w:val="00D92E30"/>
    <w:rsid w:val="00D954E5"/>
    <w:rsid w:val="00DA613E"/>
    <w:rsid w:val="00DB2AD8"/>
    <w:rsid w:val="00DB5CDA"/>
    <w:rsid w:val="00DC1D78"/>
    <w:rsid w:val="00DE4BFB"/>
    <w:rsid w:val="00E1288B"/>
    <w:rsid w:val="00E137D4"/>
    <w:rsid w:val="00E14B95"/>
    <w:rsid w:val="00E15295"/>
    <w:rsid w:val="00E46B8F"/>
    <w:rsid w:val="00E53ABE"/>
    <w:rsid w:val="00E5483D"/>
    <w:rsid w:val="00E5664B"/>
    <w:rsid w:val="00E755DB"/>
    <w:rsid w:val="00E773B7"/>
    <w:rsid w:val="00E82135"/>
    <w:rsid w:val="00EC2EC7"/>
    <w:rsid w:val="00EC39AA"/>
    <w:rsid w:val="00ED1DB2"/>
    <w:rsid w:val="00EE30E0"/>
    <w:rsid w:val="00EF325E"/>
    <w:rsid w:val="00F06BAA"/>
    <w:rsid w:val="00F46AEE"/>
    <w:rsid w:val="00F46FAD"/>
    <w:rsid w:val="00F72914"/>
    <w:rsid w:val="00F7749F"/>
    <w:rsid w:val="00FA0047"/>
    <w:rsid w:val="00FD36ED"/>
    <w:rsid w:val="00FE5B39"/>
    <w:rsid w:val="00FF32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367"/>
    <w:pPr>
      <w:spacing w:after="200" w:line="360" w:lineRule="auto"/>
      <w:jc w:val="both"/>
    </w:pPr>
    <w:rPr>
      <w:rFonts w:ascii="Times New Roman" w:eastAsia="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E4AC4"/>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
    <w:name w:val="Char"/>
    <w:basedOn w:val="Normal"/>
    <w:uiPriority w:val="99"/>
    <w:rsid w:val="003B23BA"/>
    <w:pPr>
      <w:pageBreakBefore/>
      <w:spacing w:before="100" w:beforeAutospacing="1" w:after="100" w:afterAutospacing="1" w:line="240" w:lineRule="auto"/>
      <w:jc w:val="left"/>
    </w:pPr>
    <w:rPr>
      <w:rFonts w:ascii="Tahoma" w:eastAsia="Calibri" w:hAnsi="Tahoma" w:cs="Tahoma"/>
      <w:sz w:val="20"/>
      <w:szCs w:val="20"/>
    </w:rPr>
  </w:style>
  <w:style w:type="paragraph" w:styleId="Header">
    <w:name w:val="header"/>
    <w:basedOn w:val="Normal"/>
    <w:link w:val="HeaderChar1"/>
    <w:uiPriority w:val="99"/>
    <w:semiHidden/>
    <w:rsid w:val="00AE2846"/>
    <w:pPr>
      <w:tabs>
        <w:tab w:val="center" w:pos="4680"/>
        <w:tab w:val="right" w:pos="9360"/>
      </w:tabs>
    </w:pPr>
  </w:style>
  <w:style w:type="character" w:customStyle="1" w:styleId="HeaderChar">
    <w:name w:val="Header Char"/>
    <w:basedOn w:val="DefaultParagraphFont"/>
    <w:link w:val="Header"/>
    <w:uiPriority w:val="99"/>
    <w:semiHidden/>
    <w:rsid w:val="002E5F81"/>
    <w:rPr>
      <w:rFonts w:ascii="Times New Roman" w:eastAsia="Times New Roman" w:hAnsi="Times New Roman"/>
      <w:sz w:val="28"/>
      <w:szCs w:val="28"/>
    </w:rPr>
  </w:style>
  <w:style w:type="character" w:customStyle="1" w:styleId="HeaderChar1">
    <w:name w:val="Header Char1"/>
    <w:basedOn w:val="DefaultParagraphFont"/>
    <w:link w:val="Header"/>
    <w:uiPriority w:val="99"/>
    <w:semiHidden/>
    <w:locked/>
    <w:rsid w:val="00AE2846"/>
    <w:rPr>
      <w:rFonts w:ascii="Times New Roman" w:hAnsi="Times New Roman" w:cs="Times New Roman"/>
      <w:sz w:val="22"/>
      <w:szCs w:val="22"/>
    </w:rPr>
  </w:style>
  <w:style w:type="paragraph" w:styleId="Footer">
    <w:name w:val="footer"/>
    <w:basedOn w:val="Normal"/>
    <w:link w:val="FooterChar1"/>
    <w:uiPriority w:val="99"/>
    <w:rsid w:val="00AE2846"/>
    <w:pPr>
      <w:tabs>
        <w:tab w:val="center" w:pos="4680"/>
        <w:tab w:val="right" w:pos="9360"/>
      </w:tabs>
    </w:pPr>
  </w:style>
  <w:style w:type="character" w:customStyle="1" w:styleId="FooterChar">
    <w:name w:val="Footer Char"/>
    <w:basedOn w:val="DefaultParagraphFont"/>
    <w:link w:val="Footer"/>
    <w:uiPriority w:val="99"/>
    <w:semiHidden/>
    <w:rsid w:val="002E5F81"/>
    <w:rPr>
      <w:rFonts w:ascii="Times New Roman" w:eastAsia="Times New Roman" w:hAnsi="Times New Roman"/>
      <w:sz w:val="28"/>
      <w:szCs w:val="28"/>
    </w:rPr>
  </w:style>
  <w:style w:type="character" w:customStyle="1" w:styleId="FooterChar1">
    <w:name w:val="Footer Char1"/>
    <w:basedOn w:val="DefaultParagraphFont"/>
    <w:link w:val="Footer"/>
    <w:uiPriority w:val="99"/>
    <w:locked/>
    <w:rsid w:val="00AE2846"/>
    <w:rPr>
      <w:rFonts w:ascii="Times New Roman" w:hAnsi="Times New Roman" w:cs="Times New Roman"/>
      <w:sz w:val="22"/>
      <w:szCs w:val="22"/>
    </w:rPr>
  </w:style>
  <w:style w:type="paragraph" w:styleId="BodyTextIndent3">
    <w:name w:val="Body Text Indent 3"/>
    <w:basedOn w:val="Normal"/>
    <w:link w:val="BodyTextIndent3Char1"/>
    <w:uiPriority w:val="99"/>
    <w:rsid w:val="000C60D0"/>
    <w:pPr>
      <w:spacing w:after="0" w:line="240" w:lineRule="auto"/>
      <w:ind w:left="720"/>
    </w:pPr>
    <w:rPr>
      <w:rFonts w:ascii=".VnTime" w:eastAsia="Calibri" w:hAnsi=".VnTime" w:cs=".VnTime"/>
    </w:rPr>
  </w:style>
  <w:style w:type="character" w:customStyle="1" w:styleId="BodyTextIndent3Char">
    <w:name w:val="Body Text Indent 3 Char"/>
    <w:basedOn w:val="DefaultParagraphFont"/>
    <w:link w:val="BodyTextIndent3"/>
    <w:uiPriority w:val="99"/>
    <w:semiHidden/>
    <w:rsid w:val="002E5F81"/>
    <w:rPr>
      <w:rFonts w:ascii="Times New Roman" w:eastAsia="Times New Roman" w:hAnsi="Times New Roman"/>
      <w:sz w:val="16"/>
      <w:szCs w:val="16"/>
    </w:rPr>
  </w:style>
  <w:style w:type="character" w:customStyle="1" w:styleId="BodyTextIndent3Char1">
    <w:name w:val="Body Text Indent 3 Char1"/>
    <w:basedOn w:val="DefaultParagraphFont"/>
    <w:link w:val="BodyTextIndent3"/>
    <w:uiPriority w:val="99"/>
    <w:locked/>
    <w:rsid w:val="000C60D0"/>
    <w:rPr>
      <w:rFonts w:ascii=".VnTime" w:eastAsia="Times New Roman" w:hAnsi=".VnTime" w:cs=".VnTime"/>
      <w:sz w:val="24"/>
      <w:szCs w:val="24"/>
    </w:rPr>
  </w:style>
  <w:style w:type="character" w:styleId="PageNumber">
    <w:name w:val="page number"/>
    <w:basedOn w:val="DefaultParagraphFont"/>
    <w:uiPriority w:val="99"/>
    <w:rsid w:val="00E53ABE"/>
  </w:style>
</w:styles>
</file>

<file path=word/webSettings.xml><?xml version="1.0" encoding="utf-8"?>
<w:webSettings xmlns:r="http://schemas.openxmlformats.org/officeDocument/2006/relationships" xmlns:w="http://schemas.openxmlformats.org/wordprocessingml/2006/main">
  <w:divs>
    <w:div w:id="553541419">
      <w:marLeft w:val="0"/>
      <w:marRight w:val="0"/>
      <w:marTop w:val="0"/>
      <w:marBottom w:val="0"/>
      <w:divBdr>
        <w:top w:val="none" w:sz="0" w:space="0" w:color="auto"/>
        <w:left w:val="none" w:sz="0" w:space="0" w:color="auto"/>
        <w:bottom w:val="none" w:sz="0" w:space="0" w:color="auto"/>
        <w:right w:val="none" w:sz="0" w:space="0" w:color="auto"/>
      </w:divBdr>
    </w:div>
    <w:div w:id="5535414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DN0SAckT8CkCM0CC0ZtvJbHt8h0=</DigestValue>
    </Reference>
    <Reference URI="#idOfficeObject" Type="http://www.w3.org/2000/09/xmldsig#Object">
      <DigestMethod Algorithm="http://www.w3.org/2000/09/xmldsig#sha1"/>
      <DigestValue>I/5c80WBTmfjO0PXw6kRjIqCugI=</DigestValue>
    </Reference>
  </SignedInfo>
  <SignatureValue>
    NFepIrTII3LAeDyn42jG9EGwKSOxad2v5BbW3ZVwgAzbwL1zWtyGtUbTa1FnFAd7dzwO2We6
    CD24jxC4jSA3NPKT5kiBb5LKOht7588Qj61I8tQd7IkA0628bs3lWy+zuxli8vu6mzG/P8tj
    m9yuo0btZeUgzMnZaHacZmyNHwo=
  </SignatureValue>
  <KeyInfo>
    <KeyValue>
      <RSAKeyValue>
        <Modulus>
            6d6zWF/hyJottLOD6Ekz0CMyksNhXF7fifwyg5HyOr7pXpCgFLjkgca551qVVaFFM9E8B8QF
            q4Kqm6FUxPFY73dRX1ukcPaddTt+9aRtV4W1up2uQSq+TlMkvSCpkFEFxjLseG5cuTDFGpK+
            iO7eYUNK5bAlGLlZjOZGtXZGRRs=
          </Modulus>
        <Exponent>AQAB</Exponent>
      </RSAKeyValue>
    </KeyValue>
    <X509Data>
      <X509Certificate>
          MIIGMzCCBBugAwIBAgIQVAHAQOMEP8hYCsTXJegqcDANBgkqhkiG9w0BAQUFADBpMQswCQYD
          VQQGEwJWTjETMBEGA1UEChMKVk5QVCBHcm91cDEeMBwGA1UECxMVVk5QVC1DQSBUcnVzdCBO
          ZXR3b3JrMSUwIwYDVQQDExxWTlBUIENlcnRpZmljYXRpb24gQXV0aG9yaXR5MB4XDTExMDkw
          NzA5MDUzMFoXDTE1MDMwOTA5MDUzMFowgfMxCzAJBgNVBAYTAlZOMRIwEAYDVQQIDAlI4bqh
          IExvbmcxFTATBgNVBAcMDFF14bqjbmcgTmluaDFKMEgGA1UECwxBQ8OUTkcgVFkgQ+G7lCBQ
          SOG6pk4gVEhBTiBIw4AgTOG6pk0gLSBWSU5BQ09NSU4gKEhMQzogNTcwMDEwMTYzNykxEzAR
          BgNVBAsMCkvhur4gVE/DgU4xFDASBgNVBAwMC1BIw5MgUEjDkk5HMSIwIAYDVQQDDBlUUuG6
          pk4gVEjhu4ogQsONQ0ggSOG7kk5HMR4wHAYKCZImiZPyLGQBAQwOQ01ORDoxMDAwMzQyODYw
          gZ8wDQYJKoZIhvcNAQEBBQADgY0AMIGJAoGBAOnes1hf4ciaLbSzg+hJM9AjMpLDYVxe34n8
          MoOR8jq+6V6QoBS45IHGuedalVWhRTPRPAfEBauCqpuhVMTxWO93UV9bpHD2nXU7fvWkbVeF
          tbqdrkEqvk5TJL0gqZBRBcYy7HhuXLkwxRqSvoju3mFDSuWwJRi5WYzmRrV2RkUbAgMBAAGj
          ggHOMIIByjBwBggrBgEFBQcBAQRkMGIwMgYIKwYBBQUHMAKGJmh0dHA6Ly9wdWIudm5wdC1j
          YS52bi9jZXJ0cy92bnB0Y2EuY2VyMCwGCCsGAQUFBzABhiBodHRwOi8vb2NzcC52bnB0LWNh
          LnZuL3Jlc3BvbmRlcjAdBgNVHQ4EFgQUcHrolJ1JLVGwymxCC+pGfVea1WUwDAYDVR0TAQH/
          BAIwADAfBgNVHSMEGDAWgBQGacDV1QKKFY1Gfel84mgKVaxqrzB2BgNVHSAEbzBtMDQGCSsG
          AQQBgfo6AzAnMCUGCCsGAQUFBwIBFhlodHRwOi8vcHViLnZucHQtY2Eudm4vcnBhMDUGCysG
          AQQBgfo6AwECMCYwJAYIKwYBBQUHAgIwGB4WAFMASQBEAC0AUAAxAC4AMAAtADEAeTAxBgNV
          HR8EKjAoMCagJKAihiBodHRwOi8vY3JsLnZucHQtY2Eudm4vdm5wdGNhLmNybDAOBgNVHQ8B
          Af8EBAMCBPAwKQYDVR0lBCIwIAYIKwYBBQUHAwIGCCsGAQUFBwMEBgorBgEEAYI3CgMMMCIG
          A1UdEQQbMBmBF0JJQ0hIT05HSEFMQU1AZ21haWwuY29tMA0GCSqGSIb3DQEBBQUAA4ICAQBJ
          fsyocSbEs5+aMWDrMqf9PoDpPXQ5GqzgYC3yap40O+LkZk9saJuurzHOq1J8wwFcXFaH9vtY
          RchudIVSh8t2XcMq39Y1K97OCtyv59NjS/65bWfvkaRDjmcz5w5MfUJ3gxMVVDVpJnR+ckiI
          mFSAJZYVUsnBulnWCiNVAajNykbD5FbYEaAaDmyQMNOsZ44v1UqXMeCEvIoVaLw4k1GZek6O
          uRV7kJ1M0pseT1i4XPAhejMFBTspe9D5icruuOIX/gnefNHTjdWP+3m8Xwnbw51aKY5D0VB8
          gxbM9XjUCkWF4RHzm34eiN3sQFsv2VzyvczDgqauYXUtmVjm4VlCjb2VjuuzV7P3gE8CO6C0
          7kc160vjHPwrrBsQVobNSA5VVIBifNi3uJoTVWOPNZXB1+iMqvOYEag3tqmsy9XsWlU139z8
          vCf7zb93mlJ3EV637EVBdtmS99OY1hopRu7rGtArbd4z6Uj54p4a5OLqn7vDR5zrQlRWZ2pd
          YEUyByKdgIidD9atGOFXbFcEJQ0TNJrHkWz6BBhHBPn+wQ9yHgZlWp3J15y/ToJ0dSS8rq18
          Fn4/lDaWQALVMAsENElGAxP9/nFwoBk4G0wAvPn0NdtTxYb5PRk1Bri7bIPRoshPj8Ad3F9o
          6HsXROQv7IAacyo78UHQmNelDkNvhqSa+Q==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5gffLxWKnbvX4kJaK/SABqXOT/g=</DigestValue>
      </Reference>
      <Reference URI="/word/document.xml?ContentType=application/vnd.openxmlformats-officedocument.wordprocessingml.document.main+xml">
        <DigestMethod Algorithm="http://www.w3.org/2000/09/xmldsig#sha1"/>
        <DigestValue>Rzg3Y+CQRPKUvN+EVanrCy8O95A=</DigestValue>
      </Reference>
      <Reference URI="/word/endnotes.xml?ContentType=application/vnd.openxmlformats-officedocument.wordprocessingml.endnotes+xml">
        <DigestMethod Algorithm="http://www.w3.org/2000/09/xmldsig#sha1"/>
        <DigestValue>ryfhhEjDSxPFHaiAIhmuwlTm0is=</DigestValue>
      </Reference>
      <Reference URI="/word/fontTable.xml?ContentType=application/vnd.openxmlformats-officedocument.wordprocessingml.fontTable+xml">
        <DigestMethod Algorithm="http://www.w3.org/2000/09/xmldsig#sha1"/>
        <DigestValue>8Ty/sc0g/1WszxOJtLFoivKE4o8=</DigestValue>
      </Reference>
      <Reference URI="/word/footer1.xml?ContentType=application/vnd.openxmlformats-officedocument.wordprocessingml.footer+xml">
        <DigestMethod Algorithm="http://www.w3.org/2000/09/xmldsig#sha1"/>
        <DigestValue>hU6I9vD8lMpQVatXsJNbewZTSyo=</DigestValue>
      </Reference>
      <Reference URI="/word/footnotes.xml?ContentType=application/vnd.openxmlformats-officedocument.wordprocessingml.footnotes+xml">
        <DigestMethod Algorithm="http://www.w3.org/2000/09/xmldsig#sha1"/>
        <DigestValue>9I+rOaF7YMJTKj15AZfu7/xxlbg=</DigestValue>
      </Reference>
      <Reference URI="/word/numbering.xml?ContentType=application/vnd.openxmlformats-officedocument.wordprocessingml.numbering+xml">
        <DigestMethod Algorithm="http://www.w3.org/2000/09/xmldsig#sha1"/>
        <DigestValue>3ivwrmaJO/cwWTV8ggAesOFEWf8=</DigestValue>
      </Reference>
      <Reference URI="/word/settings.xml?ContentType=application/vnd.openxmlformats-officedocument.wordprocessingml.settings+xml">
        <DigestMethod Algorithm="http://www.w3.org/2000/09/xmldsig#sha1"/>
        <DigestValue>8ljPRIcXPv3xG54hfkSQPGieu0w=</DigestValue>
      </Reference>
      <Reference URI="/word/styles.xml?ContentType=application/vnd.openxmlformats-officedocument.wordprocessingml.styles+xml">
        <DigestMethod Algorithm="http://www.w3.org/2000/09/xmldsig#sha1"/>
        <DigestValue>gFmAhHvcUrruPOITSTeUBla2mwQ=</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CuudsT9TmdJwsqU8oTahS1cYJRM=</DigestValue>
      </Reference>
    </Manifest>
    <SignatureProperties>
      <SignatureProperty Id="idSignatureTime" Target="#idPackageSignature">
        <mdssi:SignatureTime>
          <mdssi:Format>YYYY-MM-DDThh:mm:ssTZD</mdssi:Format>
          <mdssi:Value>2012-11-26T02:22:25Z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Ký</SignatureComments>
          <WindowsVersion>5.1</WindowsVersion>
          <OfficeVersion>12.0</OfficeVersion>
          <ApplicationVersion>12.0</ApplicationVersion>
          <Monitors>1</Monitors>
          <HorizontalResolution>1024</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Normal_Wordconv</Template>
  <TotalTime>0</TotalTime>
  <Pages>4</Pages>
  <Words>1197</Words>
  <Characters>6829</Characters>
  <Application>Microsoft Office Outlook</Application>
  <DocSecurity>0</DocSecurity>
  <Lines>0</Lines>
  <Paragraphs>0</Paragraphs>
  <ScaleCrop>false</ScaleCrop>
  <Company>XP SP3 All Main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TẬP ĐOAN CÔNG NGHIỆP</dc:title>
  <dc:subject/>
  <dc:creator>Thanh An</dc:creator>
  <cp:keywords/>
  <dc:description/>
  <cp:lastModifiedBy>HaiKTT</cp:lastModifiedBy>
  <cp:revision>2</cp:revision>
  <cp:lastPrinted>2012-11-26T00:44:00Z</cp:lastPrinted>
  <dcterms:created xsi:type="dcterms:W3CDTF">2012-11-26T02:20:00Z</dcterms:created>
  <dcterms:modified xsi:type="dcterms:W3CDTF">2012-11-26T02:20:00Z</dcterms:modified>
</cp:coreProperties>
</file>